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F6A" w:rsidRPr="00136B18" w:rsidRDefault="00414F6A" w:rsidP="00414F6A">
      <w:pPr>
        <w:tabs>
          <w:tab w:val="right" w:pos="3754"/>
        </w:tabs>
        <w:autoSpaceDE w:val="0"/>
        <w:autoSpaceDN w:val="0"/>
        <w:bidi w:val="0"/>
        <w:adjustRightInd w:val="0"/>
        <w:spacing w:line="360" w:lineRule="auto"/>
        <w:jc w:val="center"/>
        <w:rPr>
          <w:b/>
          <w:bCs/>
          <w:sz w:val="32"/>
          <w:szCs w:val="32"/>
          <w:rtl/>
          <w:lang w:val="fr-FR" w:eastAsia="en-US"/>
        </w:rPr>
      </w:pPr>
      <w:r w:rsidRPr="00136B18">
        <w:rPr>
          <w:b/>
          <w:bCs/>
          <w:sz w:val="32"/>
          <w:szCs w:val="32"/>
          <w:highlight w:val="yellow"/>
          <w:lang w:val="fr-FR" w:eastAsia="en-US"/>
        </w:rPr>
        <w:t>Le système immunitaire</w:t>
      </w:r>
    </w:p>
    <w:p w:rsidR="00414F6A" w:rsidRPr="007051F4" w:rsidRDefault="00414F6A" w:rsidP="00414F6A">
      <w:pPr>
        <w:tabs>
          <w:tab w:val="right" w:pos="3754"/>
        </w:tabs>
        <w:autoSpaceDE w:val="0"/>
        <w:autoSpaceDN w:val="0"/>
        <w:bidi w:val="0"/>
        <w:adjustRightInd w:val="0"/>
        <w:spacing w:line="360" w:lineRule="auto"/>
        <w:jc w:val="lowKashida"/>
        <w:rPr>
          <w:rtl/>
          <w:lang w:val="fr-FR" w:eastAsia="en-US"/>
        </w:rPr>
      </w:pPr>
    </w:p>
    <w:p w:rsidR="004C4A9D" w:rsidRPr="007051F4" w:rsidRDefault="004C4A9D" w:rsidP="00414F6A">
      <w:pPr>
        <w:tabs>
          <w:tab w:val="right" w:pos="3754"/>
        </w:tabs>
        <w:autoSpaceDE w:val="0"/>
        <w:autoSpaceDN w:val="0"/>
        <w:bidi w:val="0"/>
        <w:adjustRightInd w:val="0"/>
        <w:spacing w:line="360" w:lineRule="auto"/>
        <w:jc w:val="lowKashida"/>
        <w:rPr>
          <w:lang w:val="fr-FR" w:eastAsia="en-US"/>
        </w:rPr>
      </w:pPr>
      <w:r w:rsidRPr="007051F4">
        <w:rPr>
          <w:lang w:val="fr-FR" w:eastAsia="en-US"/>
        </w:rPr>
        <w:t>Le système immunitaire (lymphoïde) des oiseaux se distingue principalement de celui des mammifères par la présence d'une bourse (équivalent de la moelle osseuse chez les mammifères) et par l’absence de nœuds lymphatiques anatomiquement individualisés (</w:t>
      </w:r>
      <w:proofErr w:type="spellStart"/>
      <w:r w:rsidRPr="007051F4">
        <w:rPr>
          <w:lang w:val="fr-FR"/>
        </w:rPr>
        <w:t>Brugere</w:t>
      </w:r>
      <w:proofErr w:type="spellEnd"/>
      <w:r w:rsidRPr="007051F4">
        <w:rPr>
          <w:lang w:val="fr-FR"/>
        </w:rPr>
        <w:t>-</w:t>
      </w:r>
      <w:proofErr w:type="spellStart"/>
      <w:r w:rsidRPr="007051F4">
        <w:rPr>
          <w:lang w:val="fr-FR"/>
        </w:rPr>
        <w:t>Picoux</w:t>
      </w:r>
      <w:proofErr w:type="spellEnd"/>
      <w:r w:rsidRPr="007051F4">
        <w:rPr>
          <w:lang w:val="fr-FR"/>
        </w:rPr>
        <w:t xml:space="preserve"> et </w:t>
      </w:r>
      <w:r w:rsidRPr="007051F4">
        <w:rPr>
          <w:i/>
          <w:iCs/>
          <w:lang w:val="fr-FR"/>
        </w:rPr>
        <w:t>al</w:t>
      </w:r>
      <w:r w:rsidRPr="007051F4">
        <w:rPr>
          <w:lang w:val="fr-FR"/>
        </w:rPr>
        <w:t>, 1992)</w:t>
      </w:r>
      <w:r w:rsidRPr="007051F4">
        <w:rPr>
          <w:lang w:val="fr-FR" w:eastAsia="en-US"/>
        </w:rPr>
        <w:t>.</w:t>
      </w:r>
    </w:p>
    <w:p w:rsidR="004C4A9D" w:rsidRPr="007051F4" w:rsidRDefault="004C4A9D" w:rsidP="004C4A9D">
      <w:pPr>
        <w:tabs>
          <w:tab w:val="right" w:pos="3754"/>
        </w:tabs>
        <w:autoSpaceDE w:val="0"/>
        <w:autoSpaceDN w:val="0"/>
        <w:bidi w:val="0"/>
        <w:adjustRightInd w:val="0"/>
        <w:spacing w:line="360" w:lineRule="auto"/>
        <w:jc w:val="lowKashida"/>
        <w:rPr>
          <w:lang w:val="fr-FR" w:eastAsia="en-US"/>
        </w:rPr>
      </w:pPr>
      <w:r w:rsidRPr="007051F4">
        <w:rPr>
          <w:lang w:val="fr-FR" w:eastAsia="en-US"/>
        </w:rPr>
        <w:t xml:space="preserve">Malgré cette particularité anatomique, les mécanismes de base impliqués dans la réponse immunitaire restent les mêmes. Comme chez tous les mammifères, le système lymphoïde des oiseaux se divise en deux parties morphologiquement et fonctionnellement distinctes : les organes lymphoïdes primaires et les organes lymphoïdes secondaires. </w:t>
      </w:r>
    </w:p>
    <w:p w:rsidR="00136B18" w:rsidRPr="007051F4" w:rsidRDefault="004C4A9D" w:rsidP="004C4A9D">
      <w:pPr>
        <w:pStyle w:val="NormalWeb"/>
        <w:tabs>
          <w:tab w:val="right" w:pos="3754"/>
        </w:tabs>
        <w:spacing w:line="360" w:lineRule="auto"/>
        <w:jc w:val="lowKashida"/>
        <w:rPr>
          <w:rtl/>
          <w:lang w:val="fr-FR"/>
        </w:rPr>
      </w:pPr>
      <w:r w:rsidRPr="007051F4">
        <w:rPr>
          <w:lang w:val="fr-FR"/>
        </w:rPr>
        <w:t xml:space="preserve">Ces organes sont la </w:t>
      </w:r>
      <w:hyperlink r:id="rId5" w:tooltip="Bourse de Fabricius" w:history="1">
        <w:r w:rsidRPr="007051F4">
          <w:rPr>
            <w:rStyle w:val="Lienhypertexte"/>
            <w:lang w:val="fr-FR"/>
          </w:rPr>
          <w:t>bourse de Fabricius</w:t>
        </w:r>
      </w:hyperlink>
      <w:r w:rsidRPr="007051F4">
        <w:rPr>
          <w:lang w:val="fr-FR"/>
        </w:rPr>
        <w:t xml:space="preserve">, chez les oiseaux, qui assure la maturation des lymphocytes B et le </w:t>
      </w:r>
      <w:hyperlink r:id="rId6" w:tooltip="Thymus (anatomie)" w:history="1">
        <w:r w:rsidRPr="007051F4">
          <w:rPr>
            <w:rStyle w:val="Lienhypertexte"/>
            <w:lang w:val="fr-FR"/>
          </w:rPr>
          <w:t>thymus</w:t>
        </w:r>
      </w:hyperlink>
      <w:r w:rsidRPr="007051F4">
        <w:rPr>
          <w:lang w:val="fr-FR"/>
        </w:rPr>
        <w:t xml:space="preserve"> qui assure la maturation des lymphocytes T. Bien qu'ils soient considérés aussi</w:t>
      </w:r>
      <w:r w:rsidRPr="007051F4">
        <w:rPr>
          <w:rFonts w:hint="cs"/>
          <w:rtl/>
          <w:lang w:val="fr-FR"/>
        </w:rPr>
        <w:t xml:space="preserve"> </w:t>
      </w:r>
      <w:r w:rsidRPr="007051F4">
        <w:rPr>
          <w:lang w:val="fr-FR"/>
        </w:rPr>
        <w:t>comme organes secondaires ou périphériques ; ils représentent  des lieux de passage, d'accumulation, et de rencontre des antigènes et des cellules de l'immunité.</w:t>
      </w:r>
    </w:p>
    <w:p w:rsidR="00136B18" w:rsidRPr="007051F4" w:rsidRDefault="00136B18" w:rsidP="00D941B4">
      <w:pPr>
        <w:tabs>
          <w:tab w:val="right" w:pos="3754"/>
        </w:tabs>
        <w:autoSpaceDE w:val="0"/>
        <w:autoSpaceDN w:val="0"/>
        <w:bidi w:val="0"/>
        <w:adjustRightInd w:val="0"/>
        <w:spacing w:line="360" w:lineRule="auto"/>
        <w:jc w:val="lowKashida"/>
        <w:rPr>
          <w:lang w:val="fr-FR" w:eastAsia="en-US"/>
        </w:rPr>
      </w:pPr>
      <w:r w:rsidRPr="007051F4">
        <w:rPr>
          <w:rFonts w:hint="cs"/>
          <w:rtl/>
          <w:lang w:val="fr-FR"/>
        </w:rPr>
        <w:t xml:space="preserve"> </w:t>
      </w:r>
      <w:r w:rsidR="00D941B4" w:rsidRPr="007051F4">
        <w:rPr>
          <w:lang w:val="fr-FR" w:eastAsia="en-US"/>
        </w:rPr>
        <w:t xml:space="preserve">Les </w:t>
      </w:r>
      <w:r w:rsidR="00D941B4">
        <w:rPr>
          <w:lang w:val="fr-FR" w:eastAsia="en-US"/>
        </w:rPr>
        <w:t>organes lymphoïdes secondaires</w:t>
      </w:r>
      <w:r w:rsidR="00D941B4">
        <w:rPr>
          <w:rFonts w:hint="cs"/>
          <w:rtl/>
          <w:lang w:val="fr-FR" w:eastAsia="en-US"/>
        </w:rPr>
        <w:t> </w:t>
      </w:r>
      <w:r w:rsidR="00D941B4">
        <w:rPr>
          <w:lang w:val="fr-FR" w:eastAsia="en-US"/>
        </w:rPr>
        <w:t>;</w:t>
      </w:r>
      <w:r w:rsidR="004C4A9D" w:rsidRPr="007051F4">
        <w:rPr>
          <w:lang w:val="fr-FR"/>
        </w:rPr>
        <w:t xml:space="preserve"> comprennent la rate, les nodules lymphatiques, la moelle osseuse, et les tissus lymphoïdes diffus tels que le GALT (</w:t>
      </w:r>
      <w:proofErr w:type="spellStart"/>
      <w:r w:rsidR="004C4A9D" w:rsidRPr="007051F4">
        <w:rPr>
          <w:lang w:val="fr-FR"/>
        </w:rPr>
        <w:t>gut</w:t>
      </w:r>
      <w:proofErr w:type="spellEnd"/>
      <w:r w:rsidR="004C4A9D" w:rsidRPr="007051F4">
        <w:rPr>
          <w:lang w:val="fr-FR"/>
        </w:rPr>
        <w:t>-</w:t>
      </w:r>
      <w:proofErr w:type="spellStart"/>
      <w:r w:rsidR="004C4A9D" w:rsidRPr="007051F4">
        <w:rPr>
          <w:lang w:val="fr-FR"/>
        </w:rPr>
        <w:t>associated</w:t>
      </w:r>
      <w:proofErr w:type="spellEnd"/>
      <w:r w:rsidR="004C4A9D" w:rsidRPr="007051F4">
        <w:rPr>
          <w:lang w:val="fr-FR"/>
        </w:rPr>
        <w:t xml:space="preserve"> </w:t>
      </w:r>
      <w:proofErr w:type="spellStart"/>
      <w:r w:rsidR="004C4A9D" w:rsidRPr="007051F4">
        <w:rPr>
          <w:lang w:val="fr-FR"/>
        </w:rPr>
        <w:t>lymphoid</w:t>
      </w:r>
      <w:proofErr w:type="spellEnd"/>
      <w:r w:rsidR="004C4A9D" w:rsidRPr="007051F4">
        <w:rPr>
          <w:lang w:val="fr-FR"/>
        </w:rPr>
        <w:t xml:space="preserve"> tissue), le BALT (branchial-</w:t>
      </w:r>
      <w:proofErr w:type="spellStart"/>
      <w:r w:rsidR="004C4A9D" w:rsidRPr="007051F4">
        <w:rPr>
          <w:lang w:val="fr-FR"/>
        </w:rPr>
        <w:t>associated</w:t>
      </w:r>
      <w:proofErr w:type="spellEnd"/>
      <w:r w:rsidR="004C4A9D" w:rsidRPr="007051F4">
        <w:rPr>
          <w:lang w:val="fr-FR"/>
        </w:rPr>
        <w:t xml:space="preserve"> </w:t>
      </w:r>
      <w:proofErr w:type="spellStart"/>
      <w:r w:rsidR="004C4A9D" w:rsidRPr="007051F4">
        <w:rPr>
          <w:lang w:val="fr-FR"/>
        </w:rPr>
        <w:t>lymphoid</w:t>
      </w:r>
      <w:proofErr w:type="spellEnd"/>
      <w:r w:rsidR="004C4A9D" w:rsidRPr="007051F4">
        <w:rPr>
          <w:lang w:val="fr-FR"/>
        </w:rPr>
        <w:t xml:space="preserve"> tissue et le</w:t>
      </w:r>
      <w:r w:rsidR="004C4A9D" w:rsidRPr="007051F4">
        <w:rPr>
          <w:lang w:val="fr-FR" w:bidi="ar-DZ"/>
        </w:rPr>
        <w:t xml:space="preserve"> HALT (</w:t>
      </w:r>
      <w:proofErr w:type="spellStart"/>
      <w:r w:rsidR="004C4A9D" w:rsidRPr="007051F4">
        <w:rPr>
          <w:lang w:val="fr-FR" w:bidi="ar-DZ"/>
        </w:rPr>
        <w:t>head</w:t>
      </w:r>
      <w:proofErr w:type="spellEnd"/>
      <w:r w:rsidR="004C4A9D" w:rsidRPr="007051F4">
        <w:rPr>
          <w:lang w:val="fr-FR" w:bidi="ar-DZ"/>
        </w:rPr>
        <w:t>-</w:t>
      </w:r>
      <w:proofErr w:type="spellStart"/>
      <w:r w:rsidR="004C4A9D" w:rsidRPr="007051F4">
        <w:rPr>
          <w:lang w:val="fr-FR" w:bidi="ar-DZ"/>
        </w:rPr>
        <w:t>associated</w:t>
      </w:r>
      <w:proofErr w:type="spellEnd"/>
      <w:r w:rsidR="004C4A9D" w:rsidRPr="007051F4">
        <w:rPr>
          <w:lang w:val="fr-FR" w:bidi="ar-DZ"/>
        </w:rPr>
        <w:t xml:space="preserve"> </w:t>
      </w:r>
      <w:proofErr w:type="spellStart"/>
      <w:r w:rsidR="004C4A9D" w:rsidRPr="007051F4">
        <w:rPr>
          <w:lang w:val="fr-FR" w:bidi="ar-DZ"/>
        </w:rPr>
        <w:t>lymphoïd</w:t>
      </w:r>
      <w:proofErr w:type="spellEnd"/>
      <w:r w:rsidR="004C4A9D" w:rsidRPr="007051F4">
        <w:rPr>
          <w:lang w:val="fr-FR" w:bidi="ar-DZ"/>
        </w:rPr>
        <w:t xml:space="preserve"> tissue) (</w:t>
      </w:r>
      <w:proofErr w:type="spellStart"/>
      <w:r w:rsidR="004C4A9D" w:rsidRPr="007051F4">
        <w:rPr>
          <w:lang w:val="fr-FR" w:bidi="ar-DZ"/>
        </w:rPr>
        <w:t>Befus</w:t>
      </w:r>
      <w:proofErr w:type="spellEnd"/>
      <w:r w:rsidR="004C4A9D" w:rsidRPr="007051F4">
        <w:rPr>
          <w:lang w:val="fr-FR" w:bidi="ar-DZ"/>
        </w:rPr>
        <w:t xml:space="preserve"> et </w:t>
      </w:r>
      <w:r w:rsidR="004C4A9D" w:rsidRPr="007051F4">
        <w:rPr>
          <w:i/>
          <w:iCs/>
          <w:lang w:val="fr-FR" w:bidi="ar-DZ"/>
        </w:rPr>
        <w:t>al</w:t>
      </w:r>
      <w:r w:rsidR="004C4A9D" w:rsidRPr="007051F4">
        <w:rPr>
          <w:lang w:val="fr-FR" w:bidi="ar-DZ"/>
        </w:rPr>
        <w:t xml:space="preserve"> ,1980).</w:t>
      </w:r>
    </w:p>
    <w:p w:rsidR="004C4A9D" w:rsidRPr="007051F4" w:rsidRDefault="004C4A9D" w:rsidP="004C4A9D">
      <w:pPr>
        <w:tabs>
          <w:tab w:val="right" w:pos="3754"/>
        </w:tabs>
        <w:bidi w:val="0"/>
        <w:spacing w:line="360" w:lineRule="auto"/>
        <w:jc w:val="lowKashida"/>
        <w:rPr>
          <w:b/>
          <w:bCs/>
          <w:lang w:val="fr-FR"/>
        </w:rPr>
      </w:pPr>
      <w:r w:rsidRPr="007051F4">
        <w:rPr>
          <w:b/>
          <w:bCs/>
          <w:lang w:val="fr-FR"/>
        </w:rPr>
        <w:t>I.</w:t>
      </w:r>
      <w:r w:rsidRPr="007051F4">
        <w:rPr>
          <w:rFonts w:ascii="Arial" w:hAnsi="Arial" w:cs="Arial"/>
          <w:b/>
          <w:bCs/>
          <w:lang w:val="fr-FR" w:eastAsia="en-US"/>
        </w:rPr>
        <w:t xml:space="preserve"> </w:t>
      </w:r>
      <w:r w:rsidRPr="007051F4">
        <w:rPr>
          <w:b/>
          <w:bCs/>
          <w:lang w:val="fr-FR" w:eastAsia="en-US"/>
        </w:rPr>
        <w:t>BASES ANATOMIQUES DE L’IMMUNITE CHEZ LES OISEAUX</w:t>
      </w:r>
      <w:r w:rsidRPr="007051F4">
        <w:rPr>
          <w:b/>
          <w:bCs/>
          <w:lang w:val="fr-FR"/>
        </w:rPr>
        <w:t xml:space="preserve"> :</w:t>
      </w:r>
    </w:p>
    <w:p w:rsidR="004C4A9D" w:rsidRPr="007051F4" w:rsidRDefault="004C4A9D" w:rsidP="004C4A9D">
      <w:pPr>
        <w:tabs>
          <w:tab w:val="right" w:pos="3754"/>
        </w:tabs>
        <w:bidi w:val="0"/>
        <w:spacing w:line="360" w:lineRule="auto"/>
        <w:jc w:val="lowKashida"/>
        <w:rPr>
          <w:lang w:val="fr-FR"/>
        </w:rPr>
      </w:pPr>
      <w:r w:rsidRPr="007051F4">
        <w:rPr>
          <w:lang w:val="fr-FR"/>
        </w:rPr>
        <w:t xml:space="preserve">Le système immunitaire des oiseaux est composé d'organes immunitaires centraux et d'organes et de tissus immunitaires secondaires (figure 1). </w:t>
      </w:r>
    </w:p>
    <w:p w:rsidR="004C4A9D" w:rsidRPr="007051F4" w:rsidRDefault="004C4A9D" w:rsidP="004C4A9D">
      <w:pPr>
        <w:tabs>
          <w:tab w:val="right" w:pos="3754"/>
        </w:tabs>
        <w:bidi w:val="0"/>
        <w:spacing w:line="360" w:lineRule="auto"/>
        <w:jc w:val="lowKashida"/>
        <w:rPr>
          <w:lang w:val="fr-FR"/>
        </w:rPr>
      </w:pPr>
    </w:p>
    <w:p w:rsidR="004C4A9D" w:rsidRPr="007051F4" w:rsidRDefault="00B13D16" w:rsidP="004C4A9D">
      <w:pPr>
        <w:tabs>
          <w:tab w:val="right" w:pos="3754"/>
        </w:tabs>
        <w:bidi w:val="0"/>
        <w:spacing w:line="360" w:lineRule="auto"/>
        <w:jc w:val="center"/>
        <w:rPr>
          <w:lang w:val="fr-FR"/>
        </w:rPr>
      </w:pPr>
      <w:r w:rsidRPr="00B13D16">
        <w:rPr>
          <w:noProof/>
          <w:lang w:eastAsia="en-US"/>
        </w:rPr>
        <w:lastRenderedPageBreak/>
        <w:pict>
          <v:line id="_x0000_s1026" style="position:absolute;left:0;text-align:left;flip:y;z-index:251660288" from="123.45pt,115.2pt" to="177.45pt,142.2pt">
            <v:stroke endarrow="block"/>
          </v:line>
        </w:pict>
      </w:r>
      <w:r w:rsidR="004C4A9D" w:rsidRPr="007051F4">
        <w:rPr>
          <w:noProof/>
          <w:lang w:val="fr-FR" w:eastAsia="fr-FR"/>
        </w:rPr>
        <w:drawing>
          <wp:inline distT="0" distB="0" distL="0" distR="0">
            <wp:extent cx="4136390" cy="2939415"/>
            <wp:effectExtent l="57150" t="38100" r="35560" b="13335"/>
            <wp:docPr id="2" name="rg_hi" descr="ANd9GcR4dmT0jKIBepYXxqQ04hCIqcNeStFM9Zr86nYuie0QEe6zK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4dmT0jKIBepYXxqQ04hCIqcNeStFM9Zr86nYuie0QEe6zK2FC"/>
                    <pic:cNvPicPr>
                      <a:picLocks noChangeAspect="1" noChangeArrowheads="1"/>
                    </pic:cNvPicPr>
                  </pic:nvPicPr>
                  <pic:blipFill>
                    <a:blip r:embed="rId7"/>
                    <a:srcRect/>
                    <a:stretch>
                      <a:fillRect/>
                    </a:stretch>
                  </pic:blipFill>
                  <pic:spPr bwMode="auto">
                    <a:xfrm>
                      <a:off x="0" y="0"/>
                      <a:ext cx="4136390" cy="2939415"/>
                    </a:xfrm>
                    <a:prstGeom prst="rect">
                      <a:avLst/>
                    </a:prstGeom>
                    <a:noFill/>
                    <a:ln w="38100" cmpd="thinThick">
                      <a:solidFill>
                        <a:srgbClr val="000000"/>
                      </a:solidFill>
                      <a:miter lim="800000"/>
                      <a:headEnd/>
                      <a:tailEnd/>
                    </a:ln>
                    <a:effectLst/>
                  </pic:spPr>
                </pic:pic>
              </a:graphicData>
            </a:graphic>
          </wp:inline>
        </w:drawing>
      </w:r>
    </w:p>
    <w:p w:rsidR="004C4A9D" w:rsidRPr="007051F4" w:rsidRDefault="004C4A9D" w:rsidP="004C4A9D">
      <w:pPr>
        <w:pStyle w:val="Titre3"/>
        <w:numPr>
          <w:ilvl w:val="0"/>
          <w:numId w:val="0"/>
        </w:numPr>
        <w:tabs>
          <w:tab w:val="right" w:pos="3754"/>
        </w:tabs>
        <w:bidi w:val="0"/>
        <w:spacing w:line="360" w:lineRule="auto"/>
        <w:ind w:left="3130" w:right="57" w:hanging="3240"/>
        <w:jc w:val="center"/>
        <w:rPr>
          <w:sz w:val="24"/>
          <w:szCs w:val="24"/>
        </w:rPr>
      </w:pPr>
      <w:r w:rsidRPr="007051F4">
        <w:rPr>
          <w:sz w:val="24"/>
          <w:szCs w:val="24"/>
        </w:rPr>
        <w:t xml:space="preserve">Figure </w:t>
      </w:r>
      <w:r w:rsidRPr="007051F4">
        <w:rPr>
          <w:rFonts w:hint="cs"/>
          <w:sz w:val="24"/>
          <w:szCs w:val="24"/>
          <w:rtl/>
        </w:rPr>
        <w:t>1</w:t>
      </w:r>
      <w:r w:rsidRPr="007051F4">
        <w:rPr>
          <w:sz w:val="24"/>
          <w:szCs w:val="24"/>
        </w:rPr>
        <w:t xml:space="preserve"> : </w:t>
      </w:r>
      <w:r w:rsidRPr="007051F4">
        <w:rPr>
          <w:b w:val="0"/>
          <w:bCs w:val="0"/>
          <w:sz w:val="24"/>
          <w:szCs w:val="24"/>
        </w:rPr>
        <w:t>Distribution anatomique  des organes lymphoïdes  (Anonyme, 2012).</w:t>
      </w:r>
    </w:p>
    <w:p w:rsidR="004C4A9D" w:rsidRPr="007051F4" w:rsidRDefault="004C4A9D" w:rsidP="004C4A9D">
      <w:pPr>
        <w:tabs>
          <w:tab w:val="right" w:pos="3754"/>
        </w:tabs>
        <w:bidi w:val="0"/>
        <w:spacing w:line="360" w:lineRule="auto"/>
        <w:jc w:val="lowKashida"/>
        <w:rPr>
          <w:lang w:val="fr-FR"/>
        </w:rPr>
      </w:pPr>
      <w:r w:rsidRPr="007051F4">
        <w:rPr>
          <w:lang w:val="fr-FR"/>
        </w:rPr>
        <w:t xml:space="preserve">Ces organes ont la caractéristique commune de former et/ou d’héberger les lymphocytes. On distingue : </w:t>
      </w:r>
    </w:p>
    <w:p w:rsidR="004C4A9D" w:rsidRPr="007051F4" w:rsidRDefault="004C4A9D" w:rsidP="004C4A9D">
      <w:pPr>
        <w:tabs>
          <w:tab w:val="right" w:pos="360"/>
          <w:tab w:val="right" w:pos="720"/>
          <w:tab w:val="right" w:pos="3754"/>
        </w:tabs>
        <w:bidi w:val="0"/>
        <w:spacing w:line="360" w:lineRule="auto"/>
        <w:jc w:val="both"/>
        <w:rPr>
          <w:b/>
          <w:bCs/>
          <w:lang w:val="fr-FR"/>
        </w:rPr>
      </w:pPr>
      <w:r w:rsidRPr="007051F4">
        <w:rPr>
          <w:b/>
          <w:bCs/>
          <w:lang w:val="fr-FR"/>
        </w:rPr>
        <w:t>I.1. Les organes lymphoïdes  primaires ou centraux (thymus et bourse de Fabricius) </w:t>
      </w:r>
      <w:r w:rsidRPr="007051F4">
        <w:rPr>
          <w:lang w:val="fr-FR"/>
        </w:rPr>
        <w:t>: Les organes lymphoïdes primaires participent à la formation initiale des lymphocytes pendant la vie embryonnaire et essentiellement à leurs différenciations en cellules T et B</w:t>
      </w:r>
      <w:r w:rsidRPr="007051F4">
        <w:rPr>
          <w:b/>
          <w:bCs/>
          <w:lang w:val="fr-FR"/>
        </w:rPr>
        <w:t>.</w:t>
      </w:r>
    </w:p>
    <w:p w:rsidR="004C4A9D" w:rsidRPr="007051F4" w:rsidRDefault="004C4A9D" w:rsidP="004C4A9D">
      <w:pPr>
        <w:tabs>
          <w:tab w:val="right" w:pos="3754"/>
        </w:tabs>
        <w:bidi w:val="0"/>
        <w:spacing w:line="360" w:lineRule="auto"/>
        <w:jc w:val="both"/>
        <w:rPr>
          <w:b/>
          <w:bCs/>
          <w:lang w:val="fr-FR" w:bidi="ar-DZ"/>
        </w:rPr>
      </w:pPr>
      <w:r w:rsidRPr="007051F4">
        <w:rPr>
          <w:b/>
          <w:bCs/>
          <w:lang w:val="fr-FR" w:bidi="ar-DZ"/>
        </w:rPr>
        <w:t>I.1.1. Bourse de Fabricius:</w:t>
      </w:r>
    </w:p>
    <w:p w:rsidR="004C4A9D" w:rsidRPr="007051F4" w:rsidRDefault="004C4A9D" w:rsidP="004C4A9D">
      <w:pPr>
        <w:tabs>
          <w:tab w:val="right" w:pos="3754"/>
        </w:tabs>
        <w:bidi w:val="0"/>
        <w:spacing w:line="360" w:lineRule="auto"/>
        <w:jc w:val="both"/>
        <w:rPr>
          <w:b/>
          <w:bCs/>
          <w:lang w:val="fr-FR"/>
        </w:rPr>
      </w:pPr>
      <w:r w:rsidRPr="007051F4">
        <w:rPr>
          <w:b/>
          <w:bCs/>
          <w:lang w:val="fr-FR" w:bidi="ar-DZ"/>
        </w:rPr>
        <w:t>I.1.1.1</w:t>
      </w:r>
      <w:r w:rsidRPr="007051F4">
        <w:rPr>
          <w:b/>
          <w:bCs/>
          <w:lang w:val="fr-FR"/>
        </w:rPr>
        <w:t xml:space="preserve">. Anatomie et histologie: </w:t>
      </w:r>
    </w:p>
    <w:p w:rsidR="004C4A9D" w:rsidRPr="007051F4" w:rsidRDefault="004C4A9D" w:rsidP="004C4A9D">
      <w:pPr>
        <w:tabs>
          <w:tab w:val="right" w:pos="3754"/>
        </w:tabs>
        <w:bidi w:val="0"/>
        <w:spacing w:line="360" w:lineRule="auto"/>
        <w:jc w:val="both"/>
        <w:rPr>
          <w:b/>
          <w:bCs/>
          <w:u w:val="single"/>
          <w:lang w:val="fr-FR"/>
        </w:rPr>
      </w:pPr>
      <w:r w:rsidRPr="007051F4">
        <w:rPr>
          <w:lang w:val="fr-FR"/>
        </w:rPr>
        <w:t xml:space="preserve">La bourse de Fabricius est un organe impair et médian, abouché à la face postérieure de l’intestin terminal (Bach, 1979), elle est de forme sacculine  (figure 3) et formée </w:t>
      </w:r>
      <w:r w:rsidRPr="007320C8">
        <w:rPr>
          <w:u w:val="single"/>
          <w:lang w:val="fr-FR"/>
        </w:rPr>
        <w:t xml:space="preserve">d’une série de franges tissulaires </w:t>
      </w:r>
      <w:r w:rsidRPr="007051F4">
        <w:rPr>
          <w:lang w:val="fr-FR"/>
        </w:rPr>
        <w:t xml:space="preserve">entourant sa lumière centrale « de forme étoilée », chaque frange est composée de plusieurs follicules, possédant chacun une médullaire claire et une corticale sombre (Pastoret et </w:t>
      </w:r>
      <w:r w:rsidRPr="007051F4">
        <w:rPr>
          <w:i/>
          <w:iCs/>
          <w:lang w:val="fr-FR"/>
        </w:rPr>
        <w:t>al</w:t>
      </w:r>
      <w:r w:rsidRPr="007051F4">
        <w:rPr>
          <w:lang w:val="fr-FR"/>
        </w:rPr>
        <w:t>, 1990 ; Bach, 1979).</w:t>
      </w:r>
    </w:p>
    <w:p w:rsidR="004C4A9D" w:rsidRPr="007051F4" w:rsidRDefault="004C4A9D" w:rsidP="004C4A9D">
      <w:pPr>
        <w:tabs>
          <w:tab w:val="right" w:pos="3754"/>
        </w:tabs>
        <w:bidi w:val="0"/>
        <w:spacing w:line="360" w:lineRule="auto"/>
        <w:jc w:val="center"/>
        <w:rPr>
          <w:lang w:val="fr-FR"/>
        </w:rPr>
      </w:pPr>
    </w:p>
    <w:p w:rsidR="004C4A9D" w:rsidRPr="007051F4" w:rsidRDefault="004C4A9D" w:rsidP="004C4A9D">
      <w:pPr>
        <w:tabs>
          <w:tab w:val="right" w:pos="3754"/>
        </w:tabs>
        <w:bidi w:val="0"/>
        <w:spacing w:line="360" w:lineRule="auto"/>
        <w:jc w:val="center"/>
        <w:rPr>
          <w:b/>
          <w:bCs/>
          <w:u w:val="single"/>
          <w:lang w:val="fr-FR"/>
        </w:rPr>
      </w:pPr>
      <w:r w:rsidRPr="007051F4">
        <w:rPr>
          <w:noProof/>
          <w:lang w:val="fr-FR" w:eastAsia="fr-FR"/>
        </w:rPr>
        <w:lastRenderedPageBreak/>
        <w:drawing>
          <wp:inline distT="0" distB="0" distL="0" distR="0">
            <wp:extent cx="3613785" cy="2459990"/>
            <wp:effectExtent l="1905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13785" cy="2459990"/>
                    </a:xfrm>
                    <a:prstGeom prst="rect">
                      <a:avLst/>
                    </a:prstGeom>
                    <a:noFill/>
                    <a:ln w="9525">
                      <a:noFill/>
                      <a:miter lim="800000"/>
                      <a:headEnd/>
                      <a:tailEnd/>
                    </a:ln>
                  </pic:spPr>
                </pic:pic>
              </a:graphicData>
            </a:graphic>
          </wp:inline>
        </w:drawing>
      </w:r>
    </w:p>
    <w:p w:rsidR="004C4A9D" w:rsidRPr="007051F4" w:rsidRDefault="004C4A9D" w:rsidP="004C4A9D">
      <w:pPr>
        <w:tabs>
          <w:tab w:val="right" w:pos="3754"/>
        </w:tabs>
        <w:bidi w:val="0"/>
        <w:spacing w:line="360" w:lineRule="auto"/>
        <w:jc w:val="center"/>
        <w:rPr>
          <w:lang w:val="fr-FR"/>
        </w:rPr>
      </w:pPr>
      <w:r w:rsidRPr="007051F4">
        <w:rPr>
          <w:b/>
          <w:bCs/>
          <w:lang w:val="fr-FR"/>
        </w:rPr>
        <w:t xml:space="preserve">Figure 03: </w:t>
      </w:r>
      <w:r w:rsidRPr="007051F4">
        <w:rPr>
          <w:lang w:val="fr-FR"/>
        </w:rPr>
        <w:t>La bourse de Fabricius (flèche) en sa position normale (Khenenou, 2008).</w:t>
      </w:r>
    </w:p>
    <w:p w:rsidR="004C4A9D" w:rsidRPr="007051F4" w:rsidRDefault="004C4A9D" w:rsidP="004C4A9D">
      <w:pPr>
        <w:tabs>
          <w:tab w:val="right" w:pos="3754"/>
        </w:tabs>
        <w:bidi w:val="0"/>
        <w:spacing w:line="360" w:lineRule="auto"/>
        <w:jc w:val="both"/>
        <w:rPr>
          <w:lang w:val="fr-FR"/>
        </w:rPr>
      </w:pPr>
    </w:p>
    <w:p w:rsidR="004C4A9D" w:rsidRPr="00136B18" w:rsidRDefault="004C4A9D" w:rsidP="00D941B4">
      <w:pPr>
        <w:tabs>
          <w:tab w:val="right" w:pos="3754"/>
        </w:tabs>
        <w:bidi w:val="0"/>
        <w:spacing w:line="360" w:lineRule="auto"/>
        <w:jc w:val="both"/>
        <w:rPr>
          <w:sz w:val="28"/>
          <w:szCs w:val="28"/>
          <w:lang w:val="fr-FR"/>
        </w:rPr>
      </w:pPr>
      <w:r w:rsidRPr="007051F4">
        <w:rPr>
          <w:lang w:val="fr-FR"/>
        </w:rPr>
        <w:t>La surface intérieure du sac est formée de plis épithéliaux longitudinaux, chaque pli   primaire possède quelques plis secondaires (sept) abritant chacun 40 à 60 follicules remplis de cellules lymphoïdes (</w:t>
      </w:r>
      <w:proofErr w:type="spellStart"/>
      <w:r w:rsidRPr="007051F4">
        <w:rPr>
          <w:lang w:val="fr-FR"/>
        </w:rPr>
        <w:t>Oláh</w:t>
      </w:r>
      <w:proofErr w:type="spellEnd"/>
      <w:r w:rsidRPr="007051F4">
        <w:rPr>
          <w:lang w:val="fr-FR"/>
        </w:rPr>
        <w:t xml:space="preserve"> et </w:t>
      </w:r>
      <w:r w:rsidRPr="007051F4">
        <w:rPr>
          <w:i/>
          <w:iCs/>
          <w:lang w:val="fr-FR"/>
        </w:rPr>
        <w:t>al</w:t>
      </w:r>
      <w:r w:rsidRPr="007051F4">
        <w:rPr>
          <w:lang w:val="fr-FR"/>
        </w:rPr>
        <w:t xml:space="preserve">, 1978; Pastoret et </w:t>
      </w:r>
      <w:r w:rsidRPr="007051F4">
        <w:rPr>
          <w:i/>
          <w:iCs/>
          <w:lang w:val="fr-FR"/>
        </w:rPr>
        <w:t>al</w:t>
      </w:r>
      <w:r w:rsidRPr="007051F4">
        <w:rPr>
          <w:lang w:val="fr-FR"/>
        </w:rPr>
        <w:t>,</w:t>
      </w:r>
      <w:r w:rsidRPr="007051F4">
        <w:rPr>
          <w:i/>
          <w:iCs/>
          <w:lang w:val="fr-FR"/>
        </w:rPr>
        <w:t xml:space="preserve"> </w:t>
      </w:r>
      <w:r w:rsidRPr="007051F4">
        <w:rPr>
          <w:lang w:val="fr-FR"/>
        </w:rPr>
        <w:t>1990).</w:t>
      </w:r>
    </w:p>
    <w:p w:rsidR="004C4A9D" w:rsidRPr="00136B18" w:rsidRDefault="004C4A9D" w:rsidP="004C4A9D">
      <w:pPr>
        <w:tabs>
          <w:tab w:val="right" w:pos="3754"/>
        </w:tabs>
        <w:bidi w:val="0"/>
        <w:spacing w:before="100" w:after="100" w:line="360" w:lineRule="auto"/>
        <w:ind w:right="70"/>
        <w:jc w:val="lowKashida"/>
        <w:rPr>
          <w:sz w:val="28"/>
          <w:szCs w:val="28"/>
          <w:lang w:val="fr-FR"/>
        </w:rPr>
      </w:pPr>
      <w:r w:rsidRPr="00136B18">
        <w:rPr>
          <w:sz w:val="28"/>
          <w:szCs w:val="28"/>
          <w:lang w:val="fr-FR"/>
        </w:rPr>
        <w:t>Le follicule est l’unité histologique, fonctionnelle immunologique et pathologique de la bourse.</w:t>
      </w:r>
    </w:p>
    <w:p w:rsidR="004C4A9D" w:rsidRPr="00136B18" w:rsidRDefault="004C4A9D" w:rsidP="004C4A9D">
      <w:pPr>
        <w:tabs>
          <w:tab w:val="right" w:pos="3754"/>
        </w:tabs>
        <w:bidi w:val="0"/>
        <w:spacing w:before="100" w:after="100" w:line="360" w:lineRule="auto"/>
        <w:ind w:right="70"/>
        <w:jc w:val="lowKashida"/>
        <w:rPr>
          <w:sz w:val="28"/>
          <w:szCs w:val="28"/>
          <w:lang w:val="fr-FR"/>
        </w:rPr>
      </w:pPr>
      <w:r w:rsidRPr="00136B18">
        <w:rPr>
          <w:sz w:val="28"/>
          <w:szCs w:val="28"/>
          <w:lang w:val="fr-FR"/>
        </w:rPr>
        <w:t xml:space="preserve">Les follicules (nodules </w:t>
      </w:r>
      <w:proofErr w:type="spellStart"/>
      <w:r w:rsidRPr="00136B18">
        <w:rPr>
          <w:sz w:val="28"/>
          <w:szCs w:val="28"/>
          <w:lang w:val="fr-FR"/>
        </w:rPr>
        <w:t>lympho</w:t>
      </w:r>
      <w:proofErr w:type="spellEnd"/>
      <w:r w:rsidRPr="00136B18">
        <w:rPr>
          <w:sz w:val="28"/>
          <w:szCs w:val="28"/>
          <w:lang w:val="fr-FR"/>
        </w:rPr>
        <w:t xml:space="preserve">-épithéliaux) sont situés dans la lamina </w:t>
      </w:r>
      <w:proofErr w:type="spellStart"/>
      <w:r w:rsidRPr="00136B18">
        <w:rPr>
          <w:sz w:val="28"/>
          <w:szCs w:val="28"/>
          <w:lang w:val="fr-FR"/>
        </w:rPr>
        <w:t>propria</w:t>
      </w:r>
      <w:proofErr w:type="spellEnd"/>
      <w:r w:rsidRPr="00136B18">
        <w:rPr>
          <w:sz w:val="28"/>
          <w:szCs w:val="28"/>
          <w:lang w:val="fr-FR"/>
        </w:rPr>
        <w:t xml:space="preserve">, immédiatement sous l’épithélium (Bach, 1993),  leur nombre au niveau d’une bourse mûre est de l’ordre de 8000 à 12000 follicules (Nagy et </w:t>
      </w:r>
      <w:r w:rsidRPr="00136B18">
        <w:rPr>
          <w:i/>
          <w:iCs/>
          <w:sz w:val="28"/>
          <w:szCs w:val="28"/>
          <w:lang w:val="fr-FR"/>
        </w:rPr>
        <w:t>al</w:t>
      </w:r>
      <w:r w:rsidRPr="00136B18">
        <w:rPr>
          <w:sz w:val="28"/>
          <w:szCs w:val="28"/>
          <w:lang w:val="fr-FR"/>
        </w:rPr>
        <w:t>, 2000). (Figure 4)</w:t>
      </w:r>
    </w:p>
    <w:p w:rsidR="004C4A9D" w:rsidRPr="00136B18" w:rsidRDefault="004C4A9D" w:rsidP="004C4A9D">
      <w:pPr>
        <w:tabs>
          <w:tab w:val="right" w:pos="3754"/>
        </w:tabs>
        <w:bidi w:val="0"/>
        <w:spacing w:before="100" w:after="100" w:line="360" w:lineRule="auto"/>
        <w:ind w:right="70"/>
        <w:jc w:val="lowKashida"/>
        <w:rPr>
          <w:sz w:val="28"/>
          <w:szCs w:val="28"/>
          <w:lang w:val="fr-FR"/>
        </w:rPr>
      </w:pPr>
      <w:r w:rsidRPr="00136B18">
        <w:rPr>
          <w:sz w:val="28"/>
          <w:szCs w:val="28"/>
          <w:lang w:val="fr-FR"/>
        </w:rPr>
        <w:t xml:space="preserve">Sur le plan histologique (figure 4), le follicule </w:t>
      </w:r>
      <w:proofErr w:type="spellStart"/>
      <w:r w:rsidRPr="00136B18">
        <w:rPr>
          <w:sz w:val="28"/>
          <w:szCs w:val="28"/>
          <w:lang w:val="fr-FR"/>
        </w:rPr>
        <w:t>bursique</w:t>
      </w:r>
      <w:proofErr w:type="spellEnd"/>
      <w:r w:rsidRPr="00136B18">
        <w:rPr>
          <w:sz w:val="28"/>
          <w:szCs w:val="28"/>
          <w:lang w:val="fr-FR"/>
        </w:rPr>
        <w:t xml:space="preserve"> est composé de 2 zones : une zone médullaire claire et une zone corticale sombre et dense.</w:t>
      </w:r>
    </w:p>
    <w:p w:rsidR="00414F6A" w:rsidRPr="00136B18" w:rsidRDefault="004C4A9D" w:rsidP="00414F6A">
      <w:pPr>
        <w:tabs>
          <w:tab w:val="right" w:pos="3754"/>
        </w:tabs>
        <w:bidi w:val="0"/>
        <w:spacing w:before="100" w:after="100" w:line="360" w:lineRule="auto"/>
        <w:ind w:right="70"/>
        <w:jc w:val="lowKashida"/>
        <w:rPr>
          <w:sz w:val="28"/>
          <w:szCs w:val="28"/>
          <w:rtl/>
          <w:lang w:val="fr-FR"/>
        </w:rPr>
      </w:pPr>
      <w:r w:rsidRPr="00136B18">
        <w:rPr>
          <w:sz w:val="28"/>
          <w:szCs w:val="28"/>
          <w:lang w:val="fr-FR"/>
        </w:rPr>
        <w:t xml:space="preserve">La zone médullaire contient des cellules épithéliales qui forment une aire continue à sa périphérie et viennent au contact de l’épithélium de revêtement (Bach, 1979). </w:t>
      </w:r>
    </w:p>
    <w:p w:rsidR="007E284C" w:rsidRPr="00136B18" w:rsidRDefault="004C4A9D" w:rsidP="007E284C">
      <w:pPr>
        <w:tabs>
          <w:tab w:val="right" w:pos="3754"/>
        </w:tabs>
        <w:bidi w:val="0"/>
        <w:spacing w:before="100" w:after="100" w:line="360" w:lineRule="auto"/>
        <w:ind w:right="70"/>
        <w:jc w:val="lowKashida"/>
        <w:rPr>
          <w:sz w:val="28"/>
          <w:szCs w:val="28"/>
          <w:lang w:val="fr-FR"/>
        </w:rPr>
      </w:pPr>
      <w:r w:rsidRPr="00136B18">
        <w:rPr>
          <w:sz w:val="28"/>
          <w:szCs w:val="28"/>
          <w:lang w:val="fr-FR"/>
        </w:rPr>
        <w:t xml:space="preserve">Contrairement au thymus où il n’existe pas de limite précise entre la corticale et la médullaire, il existe dans la bourse de Fabricius une membrane basale de 100 à 140 nm séparant la zone médullaire (épithéliale) du cortex. </w:t>
      </w:r>
    </w:p>
    <w:p w:rsidR="004C4A9D" w:rsidRPr="00136B18" w:rsidRDefault="004C4A9D" w:rsidP="007E284C">
      <w:pPr>
        <w:tabs>
          <w:tab w:val="right" w:pos="3754"/>
        </w:tabs>
        <w:autoSpaceDE w:val="0"/>
        <w:autoSpaceDN w:val="0"/>
        <w:bidi w:val="0"/>
        <w:adjustRightInd w:val="0"/>
        <w:spacing w:line="360" w:lineRule="auto"/>
        <w:jc w:val="lowKashida"/>
        <w:rPr>
          <w:rFonts w:ascii="Helvetica" w:hAnsi="Helvetica" w:cs="Helvetica"/>
          <w:sz w:val="28"/>
          <w:szCs w:val="28"/>
          <w:lang w:val="fr-FR" w:eastAsia="en-US"/>
        </w:rPr>
      </w:pPr>
      <w:r w:rsidRPr="00136B18">
        <w:rPr>
          <w:rFonts w:ascii="Helvetica" w:hAnsi="Helvetica" w:cs="Helvetica"/>
          <w:noProof/>
          <w:sz w:val="28"/>
          <w:szCs w:val="28"/>
          <w:lang w:val="fr-FR" w:eastAsia="fr-FR"/>
        </w:rPr>
        <w:lastRenderedPageBreak/>
        <w:drawing>
          <wp:inline distT="0" distB="0" distL="0" distR="0">
            <wp:extent cx="5482402" cy="3372074"/>
            <wp:effectExtent l="57150" t="38100" r="42098" b="18826"/>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b="8109"/>
                    <a:stretch>
                      <a:fillRect/>
                    </a:stretch>
                  </pic:blipFill>
                  <pic:spPr bwMode="auto">
                    <a:xfrm>
                      <a:off x="0" y="0"/>
                      <a:ext cx="5486400" cy="3374533"/>
                    </a:xfrm>
                    <a:prstGeom prst="rect">
                      <a:avLst/>
                    </a:prstGeom>
                    <a:noFill/>
                    <a:ln w="38100" cmpd="thinThick">
                      <a:solidFill>
                        <a:srgbClr val="000000"/>
                      </a:solidFill>
                      <a:miter lim="800000"/>
                      <a:headEnd/>
                      <a:tailEnd/>
                    </a:ln>
                    <a:effectLst/>
                  </pic:spPr>
                </pic:pic>
              </a:graphicData>
            </a:graphic>
          </wp:inline>
        </w:drawing>
      </w:r>
    </w:p>
    <w:p w:rsidR="004C4A9D" w:rsidRPr="00136B18" w:rsidRDefault="004C4A9D" w:rsidP="004C4A9D">
      <w:pPr>
        <w:tabs>
          <w:tab w:val="right" w:pos="3754"/>
        </w:tabs>
        <w:autoSpaceDE w:val="0"/>
        <w:autoSpaceDN w:val="0"/>
        <w:bidi w:val="0"/>
        <w:adjustRightInd w:val="0"/>
        <w:rPr>
          <w:rFonts w:ascii="GillSans-BoldCondensed" w:hAnsi="GillSans-BoldCondensed" w:cs="GillSans-BoldCondensed"/>
          <w:b/>
          <w:bCs/>
          <w:sz w:val="28"/>
          <w:szCs w:val="28"/>
          <w:lang w:val="fr-FR" w:eastAsia="en-US"/>
        </w:rPr>
      </w:pPr>
    </w:p>
    <w:p w:rsidR="004C4A9D" w:rsidRPr="00C270C5" w:rsidRDefault="004C4A9D" w:rsidP="007320C8">
      <w:pPr>
        <w:tabs>
          <w:tab w:val="right" w:pos="3754"/>
        </w:tabs>
        <w:autoSpaceDE w:val="0"/>
        <w:autoSpaceDN w:val="0"/>
        <w:bidi w:val="0"/>
        <w:adjustRightInd w:val="0"/>
        <w:rPr>
          <w:sz w:val="28"/>
          <w:szCs w:val="28"/>
          <w:rtl/>
          <w:lang w:val="fr-FR" w:eastAsia="en-US"/>
        </w:rPr>
      </w:pPr>
      <w:r w:rsidRPr="00136B18">
        <w:rPr>
          <w:b/>
          <w:bCs/>
          <w:sz w:val="28"/>
          <w:szCs w:val="28"/>
          <w:lang w:val="fr-FR" w:eastAsia="en-US"/>
        </w:rPr>
        <w:t xml:space="preserve">Figure 04 : </w:t>
      </w:r>
      <w:r w:rsidRPr="00136B18">
        <w:rPr>
          <w:sz w:val="28"/>
          <w:szCs w:val="28"/>
          <w:lang w:val="fr-FR" w:eastAsia="en-US"/>
        </w:rPr>
        <w:t>Structure histologique de la bourse de Fabricius. X 12,5 (Bacha et Bacha, 2000</w:t>
      </w:r>
      <w:proofErr w:type="gramStart"/>
      <w:r w:rsidRPr="00136B18">
        <w:rPr>
          <w:sz w:val="28"/>
          <w:szCs w:val="28"/>
          <w:lang w:val="fr-FR" w:eastAsia="en-US"/>
        </w:rPr>
        <w:t>) .</w:t>
      </w:r>
      <w:proofErr w:type="gramEnd"/>
      <w:r w:rsidRPr="00136B18">
        <w:rPr>
          <w:sz w:val="28"/>
          <w:szCs w:val="28"/>
          <w:lang w:val="fr-FR" w:eastAsia="en-US"/>
        </w:rPr>
        <w:t xml:space="preserve"> 1 : lumière de la BF. 5 : </w:t>
      </w:r>
      <w:r w:rsidR="007320C8">
        <w:rPr>
          <w:sz w:val="28"/>
          <w:szCs w:val="28"/>
          <w:lang w:val="fr-FR" w:eastAsia="en-US"/>
        </w:rPr>
        <w:t xml:space="preserve">Follicule. </w:t>
      </w:r>
      <w:r w:rsidRPr="00136B18">
        <w:rPr>
          <w:sz w:val="28"/>
          <w:szCs w:val="28"/>
          <w:lang w:val="fr-FR" w:eastAsia="en-US"/>
        </w:rPr>
        <w:t xml:space="preserve">8 : la musculeuse 10 : épithélium </w:t>
      </w:r>
      <w:proofErr w:type="spellStart"/>
      <w:r w:rsidRPr="00136B18">
        <w:rPr>
          <w:sz w:val="28"/>
          <w:szCs w:val="28"/>
          <w:lang w:val="fr-FR" w:eastAsia="en-US"/>
        </w:rPr>
        <w:t>pseudostratifié</w:t>
      </w:r>
      <w:proofErr w:type="spellEnd"/>
      <w:r w:rsidRPr="00C270C5">
        <w:rPr>
          <w:sz w:val="28"/>
          <w:szCs w:val="28"/>
          <w:lang w:val="fr-FR"/>
        </w:rPr>
        <w:t xml:space="preserve">  </w:t>
      </w:r>
      <w:r w:rsidR="00B13D16" w:rsidRPr="00B13D16">
        <w:rPr>
          <w:noProof/>
          <w:rtl/>
          <w:lang w:val="fr-FR" w:eastAsia="fr-FR"/>
        </w:rPr>
        <w:pict>
          <v:line id="_x0000_s1027" style="position:absolute;z-index:251662336;mso-position-horizontal-relative:text;mso-position-vertical-relative:text" from="81pt,120.65pt" to="81pt,120.65pt">
            <v:stroke endarrow="block"/>
          </v:line>
        </w:pict>
      </w:r>
    </w:p>
    <w:p w:rsidR="004C4A9D" w:rsidRPr="00136B18" w:rsidRDefault="00B13D16" w:rsidP="004C4A9D">
      <w:pPr>
        <w:tabs>
          <w:tab w:val="right" w:pos="3754"/>
        </w:tabs>
        <w:jc w:val="center"/>
        <w:rPr>
          <w:sz w:val="28"/>
          <w:szCs w:val="28"/>
          <w:rtl/>
          <w:lang w:val="fr-FR" w:bidi="ar-DZ"/>
        </w:rPr>
      </w:pPr>
      <w:r w:rsidRPr="00B13D16">
        <w:rPr>
          <w:noProof/>
          <w:sz w:val="28"/>
          <w:szCs w:val="28"/>
          <w:rtl/>
          <w:lang w:eastAsia="en-US"/>
        </w:rPr>
        <w:pict>
          <v:rect id="_x0000_s1032" style="position:absolute;left:0;text-align:left;margin-left:117pt;margin-top:45pt;width:23.85pt;height:18pt;z-index:251667456" filled="f" stroked="f">
            <v:textbox style="mso-next-textbox:#_x0000_s1032" inset="0,0,0,0">
              <w:txbxContent>
                <w:p w:rsidR="004C4A9D" w:rsidRPr="00A34E90" w:rsidRDefault="004C4A9D" w:rsidP="004C4A9D">
                  <w:pPr>
                    <w:jc w:val="center"/>
                    <w:rPr>
                      <w:b/>
                      <w:bCs/>
                      <w:sz w:val="32"/>
                      <w:szCs w:val="32"/>
                      <w:rtl/>
                      <w:lang w:bidi="ar-DZ"/>
                    </w:rPr>
                  </w:pPr>
                  <w:r w:rsidRPr="00A34E90">
                    <w:rPr>
                      <w:rFonts w:hint="cs"/>
                      <w:b/>
                      <w:bCs/>
                      <w:sz w:val="32"/>
                      <w:szCs w:val="32"/>
                      <w:rtl/>
                      <w:lang w:bidi="ar-DZ"/>
                    </w:rPr>
                    <w:t>3</w:t>
                  </w:r>
                </w:p>
              </w:txbxContent>
            </v:textbox>
          </v:rect>
        </w:pict>
      </w:r>
      <w:r w:rsidRPr="00B13D16">
        <w:rPr>
          <w:noProof/>
          <w:sz w:val="28"/>
          <w:szCs w:val="28"/>
          <w:rtl/>
          <w:lang w:eastAsia="en-US"/>
        </w:rPr>
        <w:pict>
          <v:rect id="_x0000_s1031" style="position:absolute;left:0;text-align:left;margin-left:81pt;margin-top:99pt;width:23.85pt;height:18pt;z-index:251666432" filled="f" stroked="f">
            <v:textbox style="mso-next-textbox:#_x0000_s1031" inset="0,0,0,0">
              <w:txbxContent>
                <w:p w:rsidR="004C4A9D" w:rsidRPr="00A34E90" w:rsidRDefault="004C4A9D" w:rsidP="004C4A9D">
                  <w:pPr>
                    <w:jc w:val="center"/>
                    <w:rPr>
                      <w:b/>
                      <w:bCs/>
                      <w:sz w:val="32"/>
                      <w:szCs w:val="32"/>
                      <w:rtl/>
                      <w:lang w:bidi="ar-DZ"/>
                    </w:rPr>
                  </w:pPr>
                  <w:r w:rsidRPr="00A34E90">
                    <w:rPr>
                      <w:rFonts w:hint="cs"/>
                      <w:b/>
                      <w:bCs/>
                      <w:sz w:val="32"/>
                      <w:szCs w:val="32"/>
                      <w:rtl/>
                      <w:lang w:bidi="ar-DZ"/>
                    </w:rPr>
                    <w:t>5</w:t>
                  </w:r>
                </w:p>
              </w:txbxContent>
            </v:textbox>
          </v:rect>
        </w:pict>
      </w:r>
      <w:r w:rsidRPr="00B13D16">
        <w:rPr>
          <w:noProof/>
          <w:sz w:val="28"/>
          <w:szCs w:val="28"/>
          <w:rtl/>
          <w:lang w:eastAsia="en-US"/>
        </w:rPr>
        <w:pict>
          <v:rect id="_x0000_s1030" style="position:absolute;left:0;text-align:left;margin-left:300.15pt;margin-top:45pt;width:23.85pt;height:18pt;z-index:251665408" filled="f" stroked="f">
            <v:textbox style="mso-next-textbox:#_x0000_s1030" inset="0,0,0,0">
              <w:txbxContent>
                <w:p w:rsidR="004C4A9D" w:rsidRPr="00A34E90" w:rsidRDefault="004C4A9D" w:rsidP="004C4A9D">
                  <w:pPr>
                    <w:jc w:val="center"/>
                    <w:rPr>
                      <w:b/>
                      <w:bCs/>
                      <w:sz w:val="32"/>
                      <w:szCs w:val="32"/>
                      <w:rtl/>
                      <w:lang w:bidi="ar-DZ"/>
                    </w:rPr>
                  </w:pPr>
                  <w:r w:rsidRPr="00A34E90">
                    <w:rPr>
                      <w:rFonts w:hint="cs"/>
                      <w:b/>
                      <w:bCs/>
                      <w:sz w:val="32"/>
                      <w:szCs w:val="32"/>
                      <w:rtl/>
                      <w:lang w:bidi="ar-DZ"/>
                    </w:rPr>
                    <w:t>4</w:t>
                  </w:r>
                </w:p>
              </w:txbxContent>
            </v:textbox>
          </v:rect>
        </w:pict>
      </w:r>
      <w:r w:rsidRPr="00B13D16">
        <w:rPr>
          <w:noProof/>
          <w:sz w:val="28"/>
          <w:szCs w:val="28"/>
          <w:rtl/>
          <w:lang w:eastAsia="en-US"/>
        </w:rPr>
        <w:pict>
          <v:rect id="_x0000_s1029" style="position:absolute;left:0;text-align:left;margin-left:189pt;margin-top:63pt;width:23.85pt;height:18pt;z-index:251664384" filled="f" stroked="f">
            <v:textbox style="mso-next-textbox:#_x0000_s1029" inset="0,0,0,0">
              <w:txbxContent>
                <w:p w:rsidR="004C4A9D" w:rsidRPr="00A34E90" w:rsidRDefault="004C4A9D" w:rsidP="004C4A9D">
                  <w:pPr>
                    <w:jc w:val="center"/>
                    <w:rPr>
                      <w:b/>
                      <w:bCs/>
                      <w:sz w:val="32"/>
                      <w:szCs w:val="32"/>
                      <w:rtl/>
                      <w:lang w:bidi="ar-DZ"/>
                    </w:rPr>
                  </w:pPr>
                  <w:r w:rsidRPr="00A34E90">
                    <w:rPr>
                      <w:rFonts w:hint="cs"/>
                      <w:b/>
                      <w:bCs/>
                      <w:sz w:val="32"/>
                      <w:szCs w:val="32"/>
                      <w:rtl/>
                      <w:lang w:bidi="ar-DZ"/>
                    </w:rPr>
                    <w:t>2</w:t>
                  </w:r>
                </w:p>
              </w:txbxContent>
            </v:textbox>
          </v:rect>
        </w:pict>
      </w:r>
      <w:r w:rsidRPr="00B13D16">
        <w:rPr>
          <w:noProof/>
          <w:sz w:val="28"/>
          <w:szCs w:val="28"/>
          <w:rtl/>
          <w:lang w:eastAsia="en-US"/>
        </w:rPr>
        <w:pict>
          <v:rect id="_x0000_s1028" style="position:absolute;left:0;text-align:left;margin-left:162pt;margin-top:36pt;width:23.85pt;height:18pt;z-index:251663360" filled="f" stroked="f">
            <v:textbox style="mso-next-textbox:#_x0000_s1028" inset="0,0,0,0">
              <w:txbxContent>
                <w:p w:rsidR="004C4A9D" w:rsidRPr="00A34E90" w:rsidRDefault="004C4A9D" w:rsidP="004C4A9D">
                  <w:pPr>
                    <w:jc w:val="center"/>
                    <w:rPr>
                      <w:b/>
                      <w:bCs/>
                      <w:sz w:val="32"/>
                      <w:szCs w:val="32"/>
                      <w:rtl/>
                      <w:lang w:bidi="ar-DZ"/>
                    </w:rPr>
                  </w:pPr>
                  <w:r w:rsidRPr="00A34E90">
                    <w:rPr>
                      <w:rFonts w:hint="cs"/>
                      <w:b/>
                      <w:bCs/>
                      <w:sz w:val="32"/>
                      <w:szCs w:val="32"/>
                      <w:rtl/>
                      <w:lang w:bidi="ar-DZ"/>
                    </w:rPr>
                    <w:t>1</w:t>
                  </w:r>
                </w:p>
              </w:txbxContent>
            </v:textbox>
          </v:rect>
        </w:pict>
      </w:r>
      <w:r w:rsidR="004C4A9D" w:rsidRPr="00136B18">
        <w:rPr>
          <w:noProof/>
          <w:sz w:val="28"/>
          <w:szCs w:val="28"/>
          <w:lang w:val="fr-FR" w:eastAsia="fr-FR"/>
        </w:rPr>
        <w:drawing>
          <wp:inline distT="0" distB="0" distL="0" distR="0">
            <wp:extent cx="3940810" cy="2634615"/>
            <wp:effectExtent l="57150" t="38100" r="40640" b="13335"/>
            <wp:docPr id="6" name="Image 6" descr="12A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A_0016"/>
                    <pic:cNvPicPr>
                      <a:picLocks noChangeAspect="1" noChangeArrowheads="1"/>
                    </pic:cNvPicPr>
                  </pic:nvPicPr>
                  <pic:blipFill>
                    <a:blip r:embed="rId10" cstate="print">
                      <a:lum bright="18000" contrast="78000"/>
                    </a:blip>
                    <a:srcRect/>
                    <a:stretch>
                      <a:fillRect/>
                    </a:stretch>
                  </pic:blipFill>
                  <pic:spPr bwMode="auto">
                    <a:xfrm>
                      <a:off x="0" y="0"/>
                      <a:ext cx="3940810" cy="2634615"/>
                    </a:xfrm>
                    <a:prstGeom prst="rect">
                      <a:avLst/>
                    </a:prstGeom>
                    <a:noFill/>
                    <a:ln w="38100" cmpd="thinThick">
                      <a:solidFill>
                        <a:srgbClr val="000000"/>
                      </a:solidFill>
                      <a:miter lim="800000"/>
                      <a:headEnd/>
                      <a:tailEnd/>
                    </a:ln>
                    <a:effectLst/>
                  </pic:spPr>
                </pic:pic>
              </a:graphicData>
            </a:graphic>
          </wp:inline>
        </w:drawing>
      </w:r>
    </w:p>
    <w:p w:rsidR="004C4A9D" w:rsidRPr="00136B18" w:rsidRDefault="004C4A9D" w:rsidP="004C4A9D">
      <w:pPr>
        <w:tabs>
          <w:tab w:val="right" w:pos="3754"/>
        </w:tabs>
        <w:bidi w:val="0"/>
        <w:spacing w:line="360" w:lineRule="auto"/>
        <w:jc w:val="center"/>
        <w:rPr>
          <w:b/>
          <w:bCs/>
          <w:sz w:val="28"/>
          <w:szCs w:val="28"/>
          <w:lang w:val="fr-FR" w:bidi="ar-DZ"/>
        </w:rPr>
      </w:pPr>
    </w:p>
    <w:p w:rsidR="004C4A9D" w:rsidRPr="00136B18" w:rsidRDefault="004C4A9D" w:rsidP="004C4A9D">
      <w:pPr>
        <w:tabs>
          <w:tab w:val="right" w:pos="3754"/>
        </w:tabs>
        <w:bidi w:val="0"/>
        <w:spacing w:line="360" w:lineRule="auto"/>
        <w:jc w:val="center"/>
        <w:rPr>
          <w:sz w:val="28"/>
          <w:szCs w:val="28"/>
          <w:lang w:val="fr-FR" w:eastAsia="en-US"/>
        </w:rPr>
      </w:pPr>
      <w:r w:rsidRPr="00136B18">
        <w:rPr>
          <w:b/>
          <w:bCs/>
          <w:sz w:val="28"/>
          <w:szCs w:val="28"/>
          <w:lang w:val="fr-FR" w:eastAsia="en-US"/>
        </w:rPr>
        <w:t xml:space="preserve">Figure 5: </w:t>
      </w:r>
      <w:r w:rsidRPr="00136B18">
        <w:rPr>
          <w:sz w:val="28"/>
          <w:szCs w:val="28"/>
          <w:lang w:val="fr-FR" w:eastAsia="en-US"/>
        </w:rPr>
        <w:t>Structure histologique de la bourse de Fabricius (H &amp; E x 100) (Khenenou, 2008).</w:t>
      </w:r>
    </w:p>
    <w:p w:rsidR="00136B18" w:rsidRDefault="004C4A9D" w:rsidP="00AE0275">
      <w:pPr>
        <w:tabs>
          <w:tab w:val="right" w:pos="3754"/>
        </w:tabs>
        <w:bidi w:val="0"/>
        <w:spacing w:line="360" w:lineRule="auto"/>
        <w:jc w:val="center"/>
        <w:rPr>
          <w:b/>
          <w:bCs/>
          <w:sz w:val="28"/>
          <w:szCs w:val="28"/>
          <w:rtl/>
          <w:lang w:val="fr-FR" w:bidi="ar-DZ"/>
        </w:rPr>
      </w:pPr>
      <w:r w:rsidRPr="00136B18">
        <w:rPr>
          <w:sz w:val="28"/>
          <w:szCs w:val="28"/>
          <w:lang w:val="fr-FR" w:eastAsia="en-US"/>
        </w:rPr>
        <w:t xml:space="preserve">1: cortex 2: </w:t>
      </w:r>
      <w:proofErr w:type="spellStart"/>
      <w:r w:rsidRPr="00136B18">
        <w:rPr>
          <w:sz w:val="28"/>
          <w:szCs w:val="28"/>
          <w:lang w:val="fr-FR" w:eastAsia="en-US"/>
        </w:rPr>
        <w:t>médulla</w:t>
      </w:r>
      <w:proofErr w:type="spellEnd"/>
      <w:r w:rsidRPr="00136B18">
        <w:rPr>
          <w:sz w:val="28"/>
          <w:szCs w:val="28"/>
          <w:lang w:val="fr-FR" w:eastAsia="en-US"/>
        </w:rPr>
        <w:t xml:space="preserve"> 3: Follicule 4: lamina </w:t>
      </w:r>
      <w:proofErr w:type="spellStart"/>
      <w:r w:rsidRPr="00136B18">
        <w:rPr>
          <w:sz w:val="28"/>
          <w:szCs w:val="28"/>
          <w:lang w:val="fr-FR" w:eastAsia="en-US"/>
        </w:rPr>
        <w:t>propria</w:t>
      </w:r>
      <w:proofErr w:type="spellEnd"/>
      <w:r w:rsidRPr="00136B18">
        <w:rPr>
          <w:sz w:val="28"/>
          <w:szCs w:val="28"/>
          <w:lang w:val="fr-FR" w:eastAsia="en-US"/>
        </w:rPr>
        <w:t xml:space="preserve"> 5: épithélium </w:t>
      </w:r>
      <w:proofErr w:type="spellStart"/>
      <w:r w:rsidRPr="00136B18">
        <w:rPr>
          <w:sz w:val="28"/>
          <w:szCs w:val="28"/>
          <w:lang w:val="fr-FR" w:eastAsia="en-US"/>
        </w:rPr>
        <w:t>pseudostratifié</w:t>
      </w:r>
      <w:proofErr w:type="spellEnd"/>
      <w:r w:rsidRPr="00136B18">
        <w:rPr>
          <w:rFonts w:hint="cs"/>
          <w:b/>
          <w:bCs/>
          <w:sz w:val="28"/>
          <w:szCs w:val="28"/>
          <w:rtl/>
          <w:lang w:val="fr-FR" w:bidi="ar-DZ"/>
        </w:rPr>
        <w:t>.</w:t>
      </w:r>
    </w:p>
    <w:p w:rsidR="00136B18" w:rsidRPr="00136B18" w:rsidRDefault="00136B18" w:rsidP="00136B18">
      <w:pPr>
        <w:tabs>
          <w:tab w:val="right" w:pos="3754"/>
        </w:tabs>
        <w:bidi w:val="0"/>
        <w:spacing w:line="360" w:lineRule="auto"/>
        <w:jc w:val="center"/>
        <w:rPr>
          <w:b/>
          <w:bCs/>
          <w:sz w:val="28"/>
          <w:szCs w:val="28"/>
          <w:lang w:val="fr-FR" w:bidi="ar-DZ"/>
        </w:rPr>
      </w:pPr>
    </w:p>
    <w:p w:rsidR="004C4A9D" w:rsidRPr="00136B18" w:rsidRDefault="004C4A9D" w:rsidP="004C4A9D">
      <w:pPr>
        <w:tabs>
          <w:tab w:val="right" w:pos="3754"/>
        </w:tabs>
        <w:bidi w:val="0"/>
        <w:spacing w:line="360" w:lineRule="auto"/>
        <w:jc w:val="both"/>
        <w:rPr>
          <w:sz w:val="28"/>
          <w:szCs w:val="28"/>
          <w:lang w:val="fr-FR"/>
        </w:rPr>
      </w:pPr>
      <w:r w:rsidRPr="00136B18">
        <w:rPr>
          <w:b/>
          <w:bCs/>
          <w:sz w:val="28"/>
          <w:szCs w:val="28"/>
          <w:lang w:val="fr-FR" w:bidi="ar-DZ"/>
        </w:rPr>
        <w:lastRenderedPageBreak/>
        <w:t>I.</w:t>
      </w:r>
      <w:r w:rsidR="00CB30D8">
        <w:rPr>
          <w:b/>
          <w:bCs/>
          <w:sz w:val="28"/>
          <w:szCs w:val="28"/>
          <w:lang w:val="fr-FR" w:bidi="ar-DZ"/>
        </w:rPr>
        <w:t>g</w:t>
      </w:r>
      <w:r w:rsidRPr="00136B18">
        <w:rPr>
          <w:b/>
          <w:bCs/>
          <w:sz w:val="28"/>
          <w:szCs w:val="28"/>
          <w:lang w:val="fr-FR" w:bidi="ar-DZ"/>
        </w:rPr>
        <w:t xml:space="preserve">1.1.2. </w:t>
      </w:r>
      <w:r w:rsidRPr="00136B18">
        <w:rPr>
          <w:b/>
          <w:bCs/>
          <w:sz w:val="28"/>
          <w:szCs w:val="28"/>
          <w:lang w:val="fr-FR"/>
        </w:rPr>
        <w:t xml:space="preserve"> Rôle de la bourse de Fabricius :</w:t>
      </w:r>
      <w:r w:rsidRPr="00136B18">
        <w:rPr>
          <w:sz w:val="28"/>
          <w:szCs w:val="28"/>
          <w:lang w:val="fr-FR"/>
        </w:rPr>
        <w:t xml:space="preserve"> </w:t>
      </w:r>
    </w:p>
    <w:p w:rsidR="00AE0275" w:rsidRDefault="004C4A9D" w:rsidP="004C4A9D">
      <w:pPr>
        <w:tabs>
          <w:tab w:val="right" w:pos="3754"/>
        </w:tabs>
        <w:bidi w:val="0"/>
        <w:spacing w:line="360" w:lineRule="auto"/>
        <w:jc w:val="both"/>
        <w:rPr>
          <w:sz w:val="28"/>
          <w:szCs w:val="28"/>
          <w:rtl/>
          <w:lang w:val="fr-FR"/>
        </w:rPr>
      </w:pPr>
      <w:r w:rsidRPr="00136B18">
        <w:rPr>
          <w:sz w:val="28"/>
          <w:szCs w:val="28"/>
          <w:lang w:val="fr-FR"/>
        </w:rPr>
        <w:t>Lorsque la bourse de Fabricius subit une ablation (</w:t>
      </w:r>
      <w:proofErr w:type="spellStart"/>
      <w:r w:rsidRPr="00136B18">
        <w:rPr>
          <w:sz w:val="28"/>
          <w:szCs w:val="28"/>
          <w:lang w:val="fr-FR"/>
        </w:rPr>
        <w:t>bursectomie</w:t>
      </w:r>
      <w:proofErr w:type="spellEnd"/>
      <w:r w:rsidRPr="00136B18">
        <w:rPr>
          <w:sz w:val="28"/>
          <w:szCs w:val="28"/>
          <w:lang w:val="fr-FR"/>
        </w:rPr>
        <w:t xml:space="preserve">) juste après l’éclosion, il s’ensuit un déficit immunitaire touchant uniquement les réactions immunitaires de type humoral ; ce qui induit une suppression presque totale des possibilités de réponse anticorps. Les réactions de type cellulaire et les réactions de rejet de greffes sont conservées </w:t>
      </w:r>
      <w:proofErr w:type="gramStart"/>
      <w:r w:rsidRPr="00136B18">
        <w:rPr>
          <w:sz w:val="28"/>
          <w:szCs w:val="28"/>
          <w:lang w:val="fr-FR"/>
        </w:rPr>
        <w:t>( </w:t>
      </w:r>
      <w:proofErr w:type="spellStart"/>
      <w:r w:rsidRPr="00136B18">
        <w:rPr>
          <w:sz w:val="28"/>
          <w:szCs w:val="28"/>
          <w:lang w:val="fr-FR"/>
        </w:rPr>
        <w:t>Ponvert</w:t>
      </w:r>
      <w:proofErr w:type="spellEnd"/>
      <w:proofErr w:type="gramEnd"/>
      <w:r w:rsidRPr="00136B18">
        <w:rPr>
          <w:sz w:val="28"/>
          <w:szCs w:val="28"/>
          <w:lang w:val="fr-FR"/>
        </w:rPr>
        <w:t xml:space="preserve">, 1991 ; </w:t>
      </w:r>
      <w:proofErr w:type="spellStart"/>
      <w:r w:rsidRPr="00136B18">
        <w:rPr>
          <w:sz w:val="28"/>
          <w:szCs w:val="28"/>
          <w:lang w:val="fr-FR"/>
        </w:rPr>
        <w:t>Letinturier</w:t>
      </w:r>
      <w:proofErr w:type="spellEnd"/>
      <w:r w:rsidRPr="00136B18">
        <w:rPr>
          <w:sz w:val="28"/>
          <w:szCs w:val="28"/>
          <w:lang w:val="fr-FR"/>
        </w:rPr>
        <w:t>, 1994).</w:t>
      </w:r>
    </w:p>
    <w:p w:rsidR="00AE0275" w:rsidRDefault="00AE0275" w:rsidP="00AE0275">
      <w:pPr>
        <w:tabs>
          <w:tab w:val="right" w:pos="3754"/>
        </w:tabs>
        <w:bidi w:val="0"/>
        <w:spacing w:line="360" w:lineRule="auto"/>
        <w:jc w:val="both"/>
        <w:rPr>
          <w:sz w:val="28"/>
          <w:szCs w:val="28"/>
          <w:rtl/>
          <w:lang w:val="fr-FR"/>
        </w:rPr>
      </w:pPr>
    </w:p>
    <w:p w:rsidR="004C4A9D" w:rsidRPr="00136B18" w:rsidRDefault="004C4A9D" w:rsidP="00CB30D8">
      <w:pPr>
        <w:tabs>
          <w:tab w:val="right" w:pos="3754"/>
        </w:tabs>
        <w:bidi w:val="0"/>
        <w:spacing w:line="360" w:lineRule="auto"/>
        <w:jc w:val="both"/>
        <w:rPr>
          <w:sz w:val="28"/>
          <w:szCs w:val="28"/>
          <w:lang w:val="fr-FR"/>
        </w:rPr>
      </w:pPr>
      <w:r w:rsidRPr="00136B18">
        <w:rPr>
          <w:sz w:val="28"/>
          <w:szCs w:val="28"/>
          <w:lang w:val="fr-FR"/>
        </w:rPr>
        <w:t xml:space="preserve"> </w:t>
      </w:r>
      <w:r w:rsidRPr="00136B18">
        <w:rPr>
          <w:b/>
          <w:bCs/>
          <w:sz w:val="28"/>
          <w:szCs w:val="28"/>
          <w:lang w:val="fr-FR"/>
        </w:rPr>
        <w:t>. La bourse de Fabricius comme organe lymphoïde périphérique</w:t>
      </w:r>
      <w:r w:rsidRPr="00136B18">
        <w:rPr>
          <w:sz w:val="28"/>
          <w:szCs w:val="28"/>
          <w:lang w:val="fr-FR"/>
        </w:rPr>
        <w:t xml:space="preserve"> : </w:t>
      </w:r>
    </w:p>
    <w:p w:rsidR="004C4A9D" w:rsidRDefault="004C4A9D" w:rsidP="004C4A9D">
      <w:pPr>
        <w:tabs>
          <w:tab w:val="right" w:pos="3754"/>
        </w:tabs>
        <w:bidi w:val="0"/>
        <w:spacing w:before="100" w:after="100" w:line="360" w:lineRule="auto"/>
        <w:ind w:right="70"/>
        <w:jc w:val="lowKashida"/>
        <w:rPr>
          <w:sz w:val="28"/>
          <w:szCs w:val="28"/>
          <w:rtl/>
          <w:lang w:val="fr-FR"/>
        </w:rPr>
      </w:pPr>
      <w:r w:rsidRPr="00136B18">
        <w:rPr>
          <w:sz w:val="28"/>
          <w:szCs w:val="28"/>
          <w:lang w:val="fr-FR"/>
        </w:rPr>
        <w:t xml:space="preserve">La fonction périphérique de la bourse est assurée par les mouvements de succion spéciaux menant à la prise active du matériel antigénique dans la lumière bursale et de son transport dans les follicules lymphoïdes bursaux </w:t>
      </w:r>
      <w:r w:rsidRPr="00136B18">
        <w:rPr>
          <w:sz w:val="28"/>
          <w:szCs w:val="28"/>
          <w:lang w:val="fr-FR" w:eastAsia="en-US"/>
        </w:rPr>
        <w:t>(</w:t>
      </w:r>
      <w:proofErr w:type="spellStart"/>
      <w:r w:rsidRPr="00136B18">
        <w:rPr>
          <w:sz w:val="28"/>
          <w:szCs w:val="28"/>
          <w:lang w:val="fr-FR"/>
        </w:rPr>
        <w:t>Brugere</w:t>
      </w:r>
      <w:proofErr w:type="spellEnd"/>
      <w:r w:rsidRPr="00136B18">
        <w:rPr>
          <w:sz w:val="28"/>
          <w:szCs w:val="28"/>
          <w:lang w:val="fr-FR"/>
        </w:rPr>
        <w:t>-</w:t>
      </w:r>
      <w:proofErr w:type="spellStart"/>
      <w:r w:rsidRPr="00136B18">
        <w:rPr>
          <w:sz w:val="28"/>
          <w:szCs w:val="28"/>
          <w:lang w:val="fr-FR"/>
        </w:rPr>
        <w:t>Picoux</w:t>
      </w:r>
      <w:proofErr w:type="spellEnd"/>
      <w:r w:rsidRPr="00136B18">
        <w:rPr>
          <w:sz w:val="28"/>
          <w:szCs w:val="28"/>
          <w:lang w:val="fr-FR"/>
        </w:rPr>
        <w:t xml:space="preserve"> et </w:t>
      </w:r>
      <w:r w:rsidRPr="00136B18">
        <w:rPr>
          <w:i/>
          <w:iCs/>
          <w:sz w:val="28"/>
          <w:szCs w:val="28"/>
          <w:lang w:val="fr-FR"/>
        </w:rPr>
        <w:t>al</w:t>
      </w:r>
      <w:r w:rsidRPr="00136B18">
        <w:rPr>
          <w:sz w:val="28"/>
          <w:szCs w:val="28"/>
          <w:lang w:val="fr-FR"/>
        </w:rPr>
        <w:t>, 1992).</w:t>
      </w:r>
    </w:p>
    <w:p w:rsidR="00623D00" w:rsidRPr="00F26D4F" w:rsidRDefault="00623D00" w:rsidP="00623D00">
      <w:pPr>
        <w:tabs>
          <w:tab w:val="right" w:pos="3754"/>
        </w:tabs>
        <w:bidi w:val="0"/>
        <w:spacing w:before="100" w:after="100" w:line="360" w:lineRule="auto"/>
        <w:ind w:right="70"/>
        <w:jc w:val="lowKashida"/>
        <w:rPr>
          <w:b/>
          <w:bCs/>
          <w:sz w:val="28"/>
          <w:szCs w:val="28"/>
          <w:lang w:val="fr-FR"/>
        </w:rPr>
      </w:pPr>
      <w:r>
        <w:rPr>
          <w:b/>
          <w:bCs/>
          <w:lang w:val="fr-FR" w:bidi="ar-DZ"/>
        </w:rPr>
        <w:t>I.1.1.3</w:t>
      </w:r>
      <w:r w:rsidRPr="00F26D4F">
        <w:rPr>
          <w:b/>
          <w:bCs/>
          <w:lang w:val="fr-FR" w:bidi="ar-DZ"/>
        </w:rPr>
        <w:t xml:space="preserve">. </w:t>
      </w:r>
      <w:r>
        <w:rPr>
          <w:b/>
          <w:bCs/>
          <w:lang w:val="fr-FR"/>
        </w:rPr>
        <w:t xml:space="preserve"> I</w:t>
      </w:r>
      <w:r w:rsidRPr="00F26D4F">
        <w:rPr>
          <w:b/>
          <w:bCs/>
          <w:lang w:val="fr-FR"/>
        </w:rPr>
        <w:t>nvolution de la bourse de Fabricius</w:t>
      </w:r>
      <w:r w:rsidRPr="00F26D4F">
        <w:rPr>
          <w:b/>
          <w:bCs/>
          <w:sz w:val="28"/>
          <w:szCs w:val="28"/>
          <w:lang w:val="fr-FR"/>
        </w:rPr>
        <w:t xml:space="preserve"> :</w:t>
      </w:r>
    </w:p>
    <w:p w:rsidR="00623D00" w:rsidRPr="00E57FF6" w:rsidRDefault="00623D00" w:rsidP="00623D00">
      <w:pPr>
        <w:tabs>
          <w:tab w:val="right" w:pos="3754"/>
        </w:tabs>
        <w:autoSpaceDE w:val="0"/>
        <w:autoSpaceDN w:val="0"/>
        <w:bidi w:val="0"/>
        <w:adjustRightInd w:val="0"/>
        <w:spacing w:line="360" w:lineRule="auto"/>
        <w:jc w:val="lowKashida"/>
        <w:rPr>
          <w:lang w:val="fr-FR"/>
        </w:rPr>
      </w:pPr>
      <w:r w:rsidRPr="00FE224C">
        <w:rPr>
          <w:lang w:val="fr-FR"/>
        </w:rPr>
        <w:t xml:space="preserve"> </w:t>
      </w:r>
      <w:r>
        <w:rPr>
          <w:lang w:val="fr-FR"/>
        </w:rPr>
        <w:t xml:space="preserve">  </w:t>
      </w:r>
      <w:r w:rsidRPr="00FE224C">
        <w:rPr>
          <w:lang w:val="fr-FR"/>
        </w:rPr>
        <w:t>Après dix semaines de croissance, la bourse de Fabricius entame une lente involution</w:t>
      </w:r>
      <w:r>
        <w:rPr>
          <w:lang w:val="fr-FR"/>
        </w:rPr>
        <w:t xml:space="preserve"> </w:t>
      </w:r>
      <w:r w:rsidRPr="00FE224C">
        <w:rPr>
          <w:lang w:val="fr-FR"/>
        </w:rPr>
        <w:t>anatomique qui consiste en un épuisement des follicules (épuisement lymphoïde</w:t>
      </w:r>
      <w:r>
        <w:rPr>
          <w:lang w:val="fr-FR"/>
        </w:rPr>
        <w:t xml:space="preserve"> </w:t>
      </w:r>
      <w:r w:rsidRPr="00FE224C">
        <w:rPr>
          <w:lang w:val="fr-FR"/>
        </w:rPr>
        <w:t>physiologique qui s'achève vers l’âge de la maturation se</w:t>
      </w:r>
      <w:r>
        <w:rPr>
          <w:lang w:val="fr-FR"/>
        </w:rPr>
        <w:t>xuelle) (</w:t>
      </w:r>
      <w:proofErr w:type="spellStart"/>
      <w:r>
        <w:rPr>
          <w:lang w:val="fr-FR"/>
        </w:rPr>
        <w:t>Brugere</w:t>
      </w:r>
      <w:proofErr w:type="spellEnd"/>
      <w:r>
        <w:rPr>
          <w:lang w:val="fr-FR"/>
        </w:rPr>
        <w:t>-</w:t>
      </w:r>
      <w:proofErr w:type="spellStart"/>
      <w:r>
        <w:rPr>
          <w:lang w:val="fr-FR"/>
        </w:rPr>
        <w:t>Picoux</w:t>
      </w:r>
      <w:proofErr w:type="spellEnd"/>
      <w:r>
        <w:rPr>
          <w:lang w:val="fr-FR"/>
        </w:rPr>
        <w:t xml:space="preserve"> et </w:t>
      </w:r>
      <w:r w:rsidRPr="00C917D4">
        <w:rPr>
          <w:i/>
          <w:iCs/>
          <w:lang w:val="fr-FR"/>
        </w:rPr>
        <w:t>al</w:t>
      </w:r>
      <w:r w:rsidRPr="00FE224C">
        <w:rPr>
          <w:lang w:val="fr-FR"/>
        </w:rPr>
        <w:t>,</w:t>
      </w:r>
      <w:r>
        <w:rPr>
          <w:lang w:val="fr-FR"/>
        </w:rPr>
        <w:t xml:space="preserve"> </w:t>
      </w:r>
      <w:r w:rsidRPr="00FE224C">
        <w:rPr>
          <w:lang w:val="fr-FR"/>
        </w:rPr>
        <w:t>1992).</w:t>
      </w:r>
      <w:r>
        <w:rPr>
          <w:lang w:val="fr-FR"/>
        </w:rPr>
        <w:t xml:space="preserve"> </w:t>
      </w:r>
      <w:r w:rsidRPr="00FE224C">
        <w:rPr>
          <w:lang w:val="fr-FR"/>
        </w:rPr>
        <w:t>Vers le quatrième mois, la bourse de Fabricius commence à s'atrophier (période de la</w:t>
      </w:r>
      <w:r>
        <w:rPr>
          <w:lang w:val="fr-FR"/>
        </w:rPr>
        <w:t xml:space="preserve"> </w:t>
      </w:r>
      <w:r w:rsidRPr="00FE224C">
        <w:rPr>
          <w:lang w:val="fr-FR"/>
        </w:rPr>
        <w:t>puberté chez le poulet). Elle va disparaîtr</w:t>
      </w:r>
      <w:r>
        <w:rPr>
          <w:lang w:val="fr-FR"/>
        </w:rPr>
        <w:t xml:space="preserve">e à la fin de la première année </w:t>
      </w:r>
      <w:r w:rsidRPr="00FE224C">
        <w:rPr>
          <w:lang w:val="fr-FR"/>
        </w:rPr>
        <w:t>(</w:t>
      </w:r>
      <w:proofErr w:type="spellStart"/>
      <w:r w:rsidRPr="00FE224C">
        <w:rPr>
          <w:lang w:val="fr-FR"/>
        </w:rPr>
        <w:t>Alamorgot</w:t>
      </w:r>
      <w:proofErr w:type="spellEnd"/>
      <w:r w:rsidRPr="00FE224C">
        <w:rPr>
          <w:lang w:val="fr-FR"/>
        </w:rPr>
        <w:t xml:space="preserve">, </w:t>
      </w:r>
      <w:r w:rsidRPr="00E57FF6">
        <w:rPr>
          <w:lang w:val="fr-FR"/>
        </w:rPr>
        <w:t>2005 ;</w:t>
      </w:r>
      <w:r>
        <w:rPr>
          <w:lang w:val="fr-FR"/>
        </w:rPr>
        <w:t xml:space="preserve"> </w:t>
      </w:r>
      <w:proofErr w:type="spellStart"/>
      <w:r w:rsidRPr="00E57FF6">
        <w:rPr>
          <w:lang w:val="fr-FR"/>
        </w:rPr>
        <w:t>Rodríguez</w:t>
      </w:r>
      <w:proofErr w:type="spellEnd"/>
      <w:r w:rsidRPr="00E57FF6">
        <w:rPr>
          <w:lang w:val="fr-FR"/>
        </w:rPr>
        <w:t>-</w:t>
      </w:r>
      <w:proofErr w:type="spellStart"/>
      <w:r w:rsidRPr="00E57FF6">
        <w:rPr>
          <w:lang w:val="fr-FR"/>
        </w:rPr>
        <w:t>Méndez</w:t>
      </w:r>
      <w:proofErr w:type="spellEnd"/>
      <w:r w:rsidRPr="00E57FF6">
        <w:rPr>
          <w:lang w:val="fr-FR"/>
        </w:rPr>
        <w:t>,</w:t>
      </w:r>
      <w:r>
        <w:rPr>
          <w:lang w:val="fr-FR"/>
        </w:rPr>
        <w:t xml:space="preserve"> </w:t>
      </w:r>
      <w:r w:rsidRPr="00E57FF6">
        <w:rPr>
          <w:lang w:val="fr-FR"/>
        </w:rPr>
        <w:t>2010).</w:t>
      </w:r>
    </w:p>
    <w:p w:rsidR="00623D00" w:rsidRDefault="00623D00" w:rsidP="00623D00">
      <w:pPr>
        <w:tabs>
          <w:tab w:val="right" w:pos="3754"/>
        </w:tabs>
        <w:autoSpaceDE w:val="0"/>
        <w:autoSpaceDN w:val="0"/>
        <w:bidi w:val="0"/>
        <w:adjustRightInd w:val="0"/>
        <w:spacing w:line="360" w:lineRule="auto"/>
        <w:jc w:val="lowKashida"/>
        <w:rPr>
          <w:lang w:val="fr-FR"/>
        </w:rPr>
      </w:pPr>
      <w:r>
        <w:rPr>
          <w:lang w:val="fr-FR"/>
        </w:rPr>
        <w:t xml:space="preserve">   </w:t>
      </w:r>
      <w:r w:rsidRPr="00FE224C">
        <w:rPr>
          <w:lang w:val="fr-FR"/>
        </w:rPr>
        <w:t xml:space="preserve"> D’après des études effectuées par </w:t>
      </w:r>
      <w:proofErr w:type="spellStart"/>
      <w:r w:rsidRPr="00FE224C">
        <w:rPr>
          <w:lang w:val="fr-FR"/>
        </w:rPr>
        <w:t>Hupaya</w:t>
      </w:r>
      <w:proofErr w:type="spellEnd"/>
      <w:r w:rsidRPr="00FE224C">
        <w:rPr>
          <w:lang w:val="fr-FR"/>
        </w:rPr>
        <w:t xml:space="preserve"> (1995) et </w:t>
      </w:r>
      <w:proofErr w:type="spellStart"/>
      <w:r w:rsidRPr="00FE224C">
        <w:rPr>
          <w:lang w:val="fr-FR"/>
        </w:rPr>
        <w:t>Kuney</w:t>
      </w:r>
      <w:proofErr w:type="spellEnd"/>
      <w:r w:rsidRPr="00FE224C">
        <w:rPr>
          <w:lang w:val="fr-FR"/>
        </w:rPr>
        <w:t xml:space="preserve"> (2000) ; plus le poulet grandit, plus la bourse de Fabricius augmente de volume, sa taille et son poids étant proportionnels à l’âge et au poids de sujet jusqu’à la maturité sexuelle, puis elle entre dans une phase de régression physiologique. </w:t>
      </w:r>
      <w:r w:rsidRPr="00862BF3">
        <w:rPr>
          <w:sz w:val="23"/>
          <w:szCs w:val="23"/>
          <w:lang w:val="fr-FR" w:eastAsia="en-US"/>
        </w:rPr>
        <w:t xml:space="preserve">La régression </w:t>
      </w:r>
      <w:r w:rsidRPr="00862BF3">
        <w:rPr>
          <w:lang w:val="fr-FR" w:eastAsia="en-US"/>
        </w:rPr>
        <w:t xml:space="preserve">complète </w:t>
      </w:r>
      <w:r>
        <w:rPr>
          <w:sz w:val="23"/>
          <w:szCs w:val="23"/>
          <w:lang w:val="fr-FR" w:eastAsia="en-US"/>
        </w:rPr>
        <w:t>de la bourse</w:t>
      </w:r>
      <w:r w:rsidRPr="00862BF3">
        <w:rPr>
          <w:sz w:val="23"/>
          <w:szCs w:val="23"/>
          <w:lang w:val="fr-FR" w:eastAsia="en-US"/>
        </w:rPr>
        <w:t xml:space="preserve"> apparaît clairement à la </w:t>
      </w:r>
      <w:r w:rsidRPr="00CE5889">
        <w:rPr>
          <w:lang w:val="fr-FR" w:eastAsia="en-US"/>
        </w:rPr>
        <w:t>27</w:t>
      </w:r>
      <w:r w:rsidRPr="00CE5889">
        <w:rPr>
          <w:vertAlign w:val="superscript"/>
          <w:lang w:val="fr-FR"/>
        </w:rPr>
        <w:t>éme</w:t>
      </w:r>
      <w:r w:rsidRPr="00CE5889">
        <w:rPr>
          <w:lang w:val="fr-FR" w:eastAsia="en-US"/>
        </w:rPr>
        <w:t xml:space="preserve">  </w:t>
      </w:r>
      <w:r w:rsidRPr="00862BF3">
        <w:rPr>
          <w:sz w:val="23"/>
          <w:szCs w:val="23"/>
          <w:lang w:val="fr-FR" w:eastAsia="en-US"/>
        </w:rPr>
        <w:t xml:space="preserve">semaine </w:t>
      </w:r>
      <w:r w:rsidRPr="00810910">
        <w:rPr>
          <w:lang w:val="fr-FR" w:eastAsia="en-US"/>
        </w:rPr>
        <w:t>(Khenenou, 2008).</w:t>
      </w:r>
    </w:p>
    <w:p w:rsidR="00623D00" w:rsidRDefault="00623D00" w:rsidP="00623D00">
      <w:pPr>
        <w:tabs>
          <w:tab w:val="right" w:pos="3754"/>
        </w:tabs>
        <w:autoSpaceDE w:val="0"/>
        <w:autoSpaceDN w:val="0"/>
        <w:bidi w:val="0"/>
        <w:adjustRightInd w:val="0"/>
        <w:spacing w:line="360" w:lineRule="auto"/>
        <w:jc w:val="lowKashida"/>
        <w:rPr>
          <w:lang w:val="fr-FR"/>
        </w:rPr>
      </w:pPr>
      <w:r w:rsidRPr="00FE224C">
        <w:rPr>
          <w:lang w:val="fr-FR"/>
        </w:rPr>
        <w:t xml:space="preserve">Cette régression est en relation avec l’augmentation du taux de testostérone ou des </w:t>
      </w:r>
      <w:proofErr w:type="spellStart"/>
      <w:r w:rsidRPr="00FE224C">
        <w:rPr>
          <w:lang w:val="fr-FR"/>
        </w:rPr>
        <w:t>oestrogènes</w:t>
      </w:r>
      <w:proofErr w:type="spellEnd"/>
      <w:r w:rsidRPr="00FE224C">
        <w:rPr>
          <w:lang w:val="fr-FR"/>
        </w:rPr>
        <w:t xml:space="preserve"> au moment de la puberté, ces hormones affectent les</w:t>
      </w:r>
      <w:r>
        <w:rPr>
          <w:lang w:val="fr-FR"/>
        </w:rPr>
        <w:t xml:space="preserve"> </w:t>
      </w:r>
      <w:r w:rsidRPr="00FE224C">
        <w:rPr>
          <w:lang w:val="fr-FR"/>
        </w:rPr>
        <w:t xml:space="preserve">cellules </w:t>
      </w:r>
      <w:proofErr w:type="spellStart"/>
      <w:r w:rsidRPr="00FE224C">
        <w:rPr>
          <w:lang w:val="fr-FR"/>
        </w:rPr>
        <w:t>stroma</w:t>
      </w:r>
      <w:r>
        <w:rPr>
          <w:lang w:val="fr-FR"/>
        </w:rPr>
        <w:t>les</w:t>
      </w:r>
      <w:proofErr w:type="spellEnd"/>
      <w:r>
        <w:rPr>
          <w:lang w:val="fr-FR"/>
        </w:rPr>
        <w:t xml:space="preserve"> de la bourse (</w:t>
      </w:r>
      <w:proofErr w:type="spellStart"/>
      <w:r>
        <w:rPr>
          <w:lang w:val="fr-FR"/>
        </w:rPr>
        <w:t>Sandoval</w:t>
      </w:r>
      <w:proofErr w:type="spellEnd"/>
      <w:r>
        <w:rPr>
          <w:lang w:val="fr-FR"/>
        </w:rPr>
        <w:t xml:space="preserve">, 2002 ; </w:t>
      </w:r>
      <w:r w:rsidRPr="00FE224C">
        <w:rPr>
          <w:lang w:val="fr-FR"/>
        </w:rPr>
        <w:t xml:space="preserve"> </w:t>
      </w:r>
      <w:proofErr w:type="spellStart"/>
      <w:r w:rsidRPr="00FE224C">
        <w:rPr>
          <w:lang w:val="fr-FR"/>
        </w:rPr>
        <w:t>Sellaoui</w:t>
      </w:r>
      <w:proofErr w:type="spellEnd"/>
      <w:r w:rsidRPr="00FE224C">
        <w:rPr>
          <w:lang w:val="fr-FR"/>
        </w:rPr>
        <w:t>, 2004)</w:t>
      </w:r>
      <w:r>
        <w:rPr>
          <w:lang w:val="fr-FR"/>
        </w:rPr>
        <w:t>.</w:t>
      </w:r>
    </w:p>
    <w:p w:rsidR="00623D00" w:rsidRDefault="00623D00" w:rsidP="00623D00">
      <w:pPr>
        <w:tabs>
          <w:tab w:val="right" w:pos="3754"/>
        </w:tabs>
        <w:bidi w:val="0"/>
        <w:spacing w:line="360" w:lineRule="auto"/>
        <w:jc w:val="both"/>
        <w:rPr>
          <w:b/>
          <w:bCs/>
          <w:lang w:val="fr-FR" w:bidi="ar-DZ"/>
        </w:rPr>
      </w:pPr>
    </w:p>
    <w:p w:rsidR="00E8756F" w:rsidRDefault="00E8756F" w:rsidP="00E8756F">
      <w:pPr>
        <w:tabs>
          <w:tab w:val="right" w:pos="3754"/>
        </w:tabs>
        <w:bidi w:val="0"/>
        <w:spacing w:line="360" w:lineRule="auto"/>
        <w:jc w:val="both"/>
        <w:rPr>
          <w:b/>
          <w:bCs/>
          <w:lang w:val="fr-FR" w:bidi="ar-DZ"/>
        </w:rPr>
      </w:pPr>
      <w:r>
        <w:rPr>
          <w:b/>
          <w:bCs/>
          <w:lang w:val="fr-FR" w:bidi="ar-DZ"/>
        </w:rPr>
        <w:t>I.1.2. Thymus :</w:t>
      </w:r>
    </w:p>
    <w:p w:rsidR="00E8756F" w:rsidRDefault="00E8756F" w:rsidP="00E8756F">
      <w:pPr>
        <w:tabs>
          <w:tab w:val="left" w:pos="900"/>
          <w:tab w:val="right" w:pos="3754"/>
        </w:tabs>
        <w:autoSpaceDE w:val="0"/>
        <w:autoSpaceDN w:val="0"/>
        <w:bidi w:val="0"/>
        <w:adjustRightInd w:val="0"/>
        <w:spacing w:line="360" w:lineRule="auto"/>
        <w:jc w:val="both"/>
        <w:rPr>
          <w:lang w:val="fr-FR" w:eastAsia="fr-FR"/>
        </w:rPr>
      </w:pPr>
      <w:r>
        <w:rPr>
          <w:b/>
          <w:bCs/>
          <w:lang w:val="fr-FR" w:bidi="ar-DZ"/>
        </w:rPr>
        <w:t>Définition:</w:t>
      </w:r>
      <w:r>
        <w:rPr>
          <w:lang w:val="fr-FR" w:eastAsia="fr-FR"/>
        </w:rPr>
        <w:t xml:space="preserve"> </w:t>
      </w:r>
    </w:p>
    <w:p w:rsidR="00E8756F" w:rsidRDefault="00E8756F" w:rsidP="00E8756F">
      <w:pPr>
        <w:tabs>
          <w:tab w:val="left" w:pos="900"/>
          <w:tab w:val="right" w:pos="3754"/>
        </w:tabs>
        <w:autoSpaceDE w:val="0"/>
        <w:autoSpaceDN w:val="0"/>
        <w:bidi w:val="0"/>
        <w:adjustRightInd w:val="0"/>
        <w:spacing w:line="360" w:lineRule="auto"/>
        <w:jc w:val="both"/>
        <w:rPr>
          <w:lang w:val="fr-FR"/>
        </w:rPr>
      </w:pPr>
      <w:r>
        <w:rPr>
          <w:lang w:val="fr-FR" w:eastAsia="fr-FR"/>
        </w:rPr>
        <w:lastRenderedPageBreak/>
        <w:t>C'est le second organe lymphoïde primaire des oiseaux et le premier organe lymphoïde à apparaître  chez  les oiseaux et  chez  la plupart des mammifères (</w:t>
      </w:r>
      <w:r>
        <w:rPr>
          <w:lang w:val="fr-FR"/>
        </w:rPr>
        <w:t>Kendall</w:t>
      </w:r>
      <w:r>
        <w:rPr>
          <w:lang w:val="fr-FR" w:eastAsia="fr-FR"/>
        </w:rPr>
        <w:t xml:space="preserve"> ,1980; Bach, 1986, Pastoret et </w:t>
      </w:r>
      <w:r>
        <w:rPr>
          <w:i/>
          <w:iCs/>
          <w:lang w:val="fr-FR" w:eastAsia="fr-FR"/>
        </w:rPr>
        <w:t>al</w:t>
      </w:r>
      <w:r>
        <w:rPr>
          <w:lang w:val="fr-FR" w:eastAsia="fr-FR"/>
        </w:rPr>
        <w:t>, 1990).</w:t>
      </w:r>
      <w:r>
        <w:rPr>
          <w:lang w:val="fr-FR"/>
        </w:rPr>
        <w:t xml:space="preserve">C'est un organe lymphoïde central qui a un rôle fondamental dans l'immunité. Il produit les lymphocytes T pré-immuns et contrôle leur différenciation. Sa structure diffère de celle de tous les autres organes lymphoïdes : Le stroma n'est pas de nature conjonctive mais épithéliale. </w:t>
      </w:r>
    </w:p>
    <w:p w:rsidR="00E8756F" w:rsidRDefault="00E8756F" w:rsidP="00E8756F">
      <w:pPr>
        <w:tabs>
          <w:tab w:val="left" w:pos="900"/>
          <w:tab w:val="right" w:pos="3754"/>
        </w:tabs>
        <w:autoSpaceDE w:val="0"/>
        <w:autoSpaceDN w:val="0"/>
        <w:bidi w:val="0"/>
        <w:adjustRightInd w:val="0"/>
        <w:spacing w:line="360" w:lineRule="auto"/>
        <w:jc w:val="both"/>
        <w:rPr>
          <w:lang w:val="fr-FR"/>
        </w:rPr>
      </w:pPr>
      <w:r>
        <w:rPr>
          <w:b/>
          <w:bCs/>
          <w:lang w:val="fr-FR" w:bidi="ar-DZ"/>
        </w:rPr>
        <w:t xml:space="preserve">I.1.2.1. </w:t>
      </w:r>
      <w:r>
        <w:rPr>
          <w:b/>
          <w:bCs/>
          <w:lang w:val="fr-FR"/>
        </w:rPr>
        <w:t>Anatomie et histologie:</w:t>
      </w:r>
      <w:r>
        <w:rPr>
          <w:b/>
          <w:bCs/>
          <w:u w:val="single"/>
          <w:lang w:val="fr-FR"/>
        </w:rPr>
        <w:t xml:space="preserve"> </w:t>
      </w:r>
      <w:r>
        <w:rPr>
          <w:lang w:val="fr-FR"/>
        </w:rPr>
        <w:t xml:space="preserve"> </w:t>
      </w:r>
    </w:p>
    <w:p w:rsidR="00E8756F" w:rsidRDefault="00E8756F" w:rsidP="00E8756F">
      <w:pPr>
        <w:tabs>
          <w:tab w:val="left" w:pos="900"/>
          <w:tab w:val="right" w:pos="3754"/>
        </w:tabs>
        <w:autoSpaceDE w:val="0"/>
        <w:autoSpaceDN w:val="0"/>
        <w:bidi w:val="0"/>
        <w:adjustRightInd w:val="0"/>
        <w:spacing w:line="360" w:lineRule="auto"/>
        <w:jc w:val="both"/>
        <w:rPr>
          <w:color w:val="000000"/>
          <w:lang w:val="fr-FR" w:eastAsia="fr-FR"/>
        </w:rPr>
      </w:pPr>
      <w:r>
        <w:rPr>
          <w:lang w:val="fr-FR"/>
        </w:rPr>
        <w:t xml:space="preserve">Le thymus est situé derrière le sternum dans le médiastin </w:t>
      </w:r>
      <w:proofErr w:type="spellStart"/>
      <w:r>
        <w:rPr>
          <w:lang w:val="fr-FR"/>
        </w:rPr>
        <w:t>antérosupérieur</w:t>
      </w:r>
      <w:proofErr w:type="spellEnd"/>
      <w:r>
        <w:rPr>
          <w:lang w:val="fr-FR"/>
        </w:rPr>
        <w:t>. Il s'étend du péricarde qu'il recouvre partiellement à la base du cou où il envoie deux prolongements (figure 6).</w:t>
      </w:r>
      <w:r>
        <w:rPr>
          <w:lang w:val="fr-FR" w:eastAsia="fr-FR"/>
        </w:rPr>
        <w:t xml:space="preserve">  Le thymus est composé de 12 à 18 lobes et est</w:t>
      </w:r>
      <w:r>
        <w:rPr>
          <w:lang w:val="fr-FR"/>
        </w:rPr>
        <w:t xml:space="preserve"> entouré par une mince capsule conjonctive réfléchie autour des vaisseaux qui pénètrent l'organe et émet de fines cloisons délimitant les lobules thymiques (Moore et </w:t>
      </w:r>
      <w:r>
        <w:rPr>
          <w:i/>
          <w:iCs/>
          <w:lang w:val="fr-FR"/>
        </w:rPr>
        <w:t>al</w:t>
      </w:r>
      <w:r>
        <w:rPr>
          <w:lang w:val="fr-FR"/>
        </w:rPr>
        <w:t xml:space="preserve"> ,1967; </w:t>
      </w:r>
      <w:proofErr w:type="spellStart"/>
      <w:r>
        <w:rPr>
          <w:lang w:val="fr-FR"/>
        </w:rPr>
        <w:t>Glick</w:t>
      </w:r>
      <w:proofErr w:type="spellEnd"/>
      <w:r>
        <w:rPr>
          <w:lang w:val="fr-FR"/>
        </w:rPr>
        <w:t xml:space="preserve">, 1980; </w:t>
      </w:r>
      <w:r>
        <w:rPr>
          <w:rStyle w:val="author"/>
          <w:lang w:val="fr-FR"/>
        </w:rPr>
        <w:t>Boyd, 1993;</w:t>
      </w:r>
      <w:r>
        <w:rPr>
          <w:rStyle w:val="author"/>
          <w:b/>
          <w:bCs/>
          <w:lang w:val="fr-FR"/>
        </w:rPr>
        <w:t xml:space="preserve"> </w:t>
      </w:r>
      <w:r>
        <w:rPr>
          <w:lang w:val="fr-FR"/>
        </w:rPr>
        <w:t>Jean, 1999</w:t>
      </w:r>
      <w:r>
        <w:rPr>
          <w:color w:val="000000"/>
          <w:lang w:val="fr-FR"/>
        </w:rPr>
        <w:t>).</w:t>
      </w:r>
    </w:p>
    <w:p w:rsidR="00E8756F" w:rsidRDefault="00B13D16" w:rsidP="00E8756F">
      <w:pPr>
        <w:tabs>
          <w:tab w:val="left" w:pos="900"/>
          <w:tab w:val="right" w:pos="3754"/>
        </w:tabs>
        <w:autoSpaceDE w:val="0"/>
        <w:autoSpaceDN w:val="0"/>
        <w:bidi w:val="0"/>
        <w:adjustRightInd w:val="0"/>
        <w:spacing w:line="360" w:lineRule="auto"/>
        <w:jc w:val="center"/>
        <w:rPr>
          <w:noProof/>
          <w:lang w:val="fr-FR" w:eastAsia="fr-FR"/>
        </w:rPr>
      </w:pPr>
      <w:r w:rsidRPr="00B13D16">
        <w:pict>
          <v:rect id="_x0000_s1034" style="position:absolute;left:0;text-align:left;margin-left:234pt;margin-top:107.15pt;width:23.85pt;height:18pt;z-index:251669504" filled="f" stroked="f">
            <v:textbox style="mso-next-textbox:#_x0000_s1034" inset="0,0,0,0">
              <w:txbxContent>
                <w:p w:rsidR="00E8756F" w:rsidRDefault="00E8756F" w:rsidP="00E8756F">
                  <w:pPr>
                    <w:rPr>
                      <w:b/>
                      <w:bCs/>
                      <w:lang w:val="fr-FR" w:bidi="ar-DZ"/>
                    </w:rPr>
                  </w:pPr>
                  <w:r>
                    <w:rPr>
                      <w:b/>
                      <w:bCs/>
                      <w:lang w:val="fr-FR" w:bidi="ar-DZ"/>
                    </w:rPr>
                    <w:t>LT</w:t>
                  </w:r>
                </w:p>
              </w:txbxContent>
            </v:textbox>
          </v:rect>
        </w:pict>
      </w:r>
      <w:r w:rsidRPr="00B13D16">
        <w:pict>
          <v:rect id="_x0000_s1035" style="position:absolute;left:0;text-align:left;margin-left:189pt;margin-top:125.15pt;width:23.85pt;height:18pt;z-index:251670528" filled="f" stroked="f">
            <v:textbox style="mso-next-textbox:#_x0000_s1035" inset="0,0,0,0">
              <w:txbxContent>
                <w:p w:rsidR="00E8756F" w:rsidRDefault="00E8756F" w:rsidP="00E8756F">
                  <w:pPr>
                    <w:rPr>
                      <w:b/>
                      <w:bCs/>
                      <w:lang w:val="fr-FR" w:bidi="ar-DZ"/>
                    </w:rPr>
                  </w:pPr>
                  <w:r>
                    <w:rPr>
                      <w:b/>
                      <w:bCs/>
                      <w:lang w:val="fr-FR" w:bidi="ar-DZ"/>
                    </w:rPr>
                    <w:t>LT</w:t>
                  </w:r>
                </w:p>
              </w:txbxContent>
            </v:textbox>
          </v:rect>
        </w:pict>
      </w:r>
      <w:r w:rsidR="00E8756F">
        <w:rPr>
          <w:noProof/>
          <w:lang w:val="fr-FR" w:eastAsia="fr-FR"/>
        </w:rPr>
        <w:drawing>
          <wp:inline distT="0" distB="0" distL="0" distR="0">
            <wp:extent cx="4483100" cy="3371215"/>
            <wp:effectExtent l="57150" t="38100" r="31750" b="19685"/>
            <wp:docPr id="1" name="Image 2" descr="100_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0_5425"/>
                    <pic:cNvPicPr>
                      <a:picLocks noChangeAspect="1" noChangeArrowheads="1"/>
                    </pic:cNvPicPr>
                  </pic:nvPicPr>
                  <pic:blipFill>
                    <a:blip r:embed="rId11" cstate="print"/>
                    <a:srcRect/>
                    <a:stretch>
                      <a:fillRect/>
                    </a:stretch>
                  </pic:blipFill>
                  <pic:spPr bwMode="auto">
                    <a:xfrm>
                      <a:off x="0" y="0"/>
                      <a:ext cx="4483100" cy="3371215"/>
                    </a:xfrm>
                    <a:prstGeom prst="rect">
                      <a:avLst/>
                    </a:prstGeom>
                    <a:noFill/>
                    <a:ln w="38100" cmpd="thinThick">
                      <a:solidFill>
                        <a:srgbClr val="000000"/>
                      </a:solidFill>
                      <a:miter lim="800000"/>
                      <a:headEnd/>
                      <a:tailEnd/>
                    </a:ln>
                    <a:effectLst/>
                  </pic:spPr>
                </pic:pic>
              </a:graphicData>
            </a:graphic>
          </wp:inline>
        </w:drawing>
      </w:r>
    </w:p>
    <w:p w:rsidR="00E8756F" w:rsidRDefault="00E8756F" w:rsidP="00E8756F">
      <w:pPr>
        <w:tabs>
          <w:tab w:val="left" w:pos="900"/>
          <w:tab w:val="right" w:pos="3754"/>
        </w:tabs>
        <w:autoSpaceDE w:val="0"/>
        <w:autoSpaceDN w:val="0"/>
        <w:bidi w:val="0"/>
        <w:adjustRightInd w:val="0"/>
        <w:spacing w:line="360" w:lineRule="auto"/>
        <w:jc w:val="center"/>
        <w:rPr>
          <w:noProof/>
          <w:lang w:val="fr-FR" w:eastAsia="fr-FR"/>
        </w:rPr>
      </w:pPr>
      <w:r>
        <w:rPr>
          <w:b/>
          <w:bCs/>
          <w:noProof/>
          <w:lang w:val="fr-FR" w:eastAsia="fr-FR"/>
        </w:rPr>
        <w:t>Figure 6</w:t>
      </w:r>
      <w:r>
        <w:rPr>
          <w:noProof/>
          <w:lang w:val="fr-FR" w:eastAsia="fr-FR"/>
        </w:rPr>
        <w:t xml:space="preserve"> : </w:t>
      </w:r>
      <w:r>
        <w:rPr>
          <w:lang w:val="fr-FR" w:eastAsia="fr-FR"/>
        </w:rPr>
        <w:t>Les lobes thymiques (LT) en sa position normale</w:t>
      </w:r>
      <w:proofErr w:type="gramStart"/>
      <w:r>
        <w:rPr>
          <w:bCs/>
          <w:color w:val="000000"/>
          <w:lang w:val="fr-FR"/>
        </w:rPr>
        <w:t>.(</w:t>
      </w:r>
      <w:proofErr w:type="gramEnd"/>
      <w:r>
        <w:rPr>
          <w:bCs/>
          <w:color w:val="000000"/>
          <w:lang w:val="fr-FR"/>
        </w:rPr>
        <w:t>khenenou,2012)</w:t>
      </w:r>
    </w:p>
    <w:p w:rsidR="00E8756F" w:rsidRDefault="00E8756F" w:rsidP="00E8756F">
      <w:pPr>
        <w:tabs>
          <w:tab w:val="left" w:pos="900"/>
          <w:tab w:val="right" w:pos="3754"/>
        </w:tabs>
        <w:autoSpaceDE w:val="0"/>
        <w:autoSpaceDN w:val="0"/>
        <w:bidi w:val="0"/>
        <w:adjustRightInd w:val="0"/>
        <w:spacing w:line="360" w:lineRule="auto"/>
        <w:jc w:val="center"/>
        <w:rPr>
          <w:noProof/>
          <w:lang w:val="fr-FR" w:eastAsia="fr-FR"/>
        </w:rPr>
      </w:pPr>
    </w:p>
    <w:p w:rsidR="00E8756F" w:rsidRDefault="00E8756F" w:rsidP="00E8756F">
      <w:pPr>
        <w:tabs>
          <w:tab w:val="left" w:pos="900"/>
          <w:tab w:val="right" w:pos="3754"/>
        </w:tabs>
        <w:autoSpaceDE w:val="0"/>
        <w:autoSpaceDN w:val="0"/>
        <w:bidi w:val="0"/>
        <w:adjustRightInd w:val="0"/>
        <w:spacing w:line="360" w:lineRule="auto"/>
        <w:jc w:val="center"/>
        <w:rPr>
          <w:lang w:val="fr-FR" w:eastAsia="fr-FR"/>
        </w:rPr>
      </w:pPr>
    </w:p>
    <w:p w:rsidR="00E8756F" w:rsidRDefault="00E8756F" w:rsidP="00E8756F">
      <w:pPr>
        <w:tabs>
          <w:tab w:val="left" w:pos="900"/>
          <w:tab w:val="right" w:pos="3754"/>
        </w:tabs>
        <w:autoSpaceDE w:val="0"/>
        <w:autoSpaceDN w:val="0"/>
        <w:bidi w:val="0"/>
        <w:adjustRightInd w:val="0"/>
        <w:spacing w:line="360" w:lineRule="auto"/>
        <w:jc w:val="center"/>
        <w:rPr>
          <w:lang w:val="fr-FR" w:eastAsia="fr-FR"/>
        </w:rPr>
      </w:pPr>
      <w:r>
        <w:rPr>
          <w:noProof/>
          <w:lang w:val="fr-FR" w:eastAsia="fr-FR"/>
        </w:rPr>
        <w:lastRenderedPageBreak/>
        <w:drawing>
          <wp:inline distT="0" distB="0" distL="0" distR="0">
            <wp:extent cx="4639945" cy="3152775"/>
            <wp:effectExtent l="57150" t="38100" r="46355" b="28575"/>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srcRect/>
                    <a:stretch>
                      <a:fillRect/>
                    </a:stretch>
                  </pic:blipFill>
                  <pic:spPr bwMode="auto">
                    <a:xfrm>
                      <a:off x="0" y="0"/>
                      <a:ext cx="4639945" cy="3152775"/>
                    </a:xfrm>
                    <a:prstGeom prst="rect">
                      <a:avLst/>
                    </a:prstGeom>
                    <a:noFill/>
                    <a:ln w="38100" cmpd="thinThick">
                      <a:solidFill>
                        <a:srgbClr val="000000"/>
                      </a:solidFill>
                      <a:miter lim="800000"/>
                      <a:headEnd/>
                      <a:tailEnd/>
                    </a:ln>
                    <a:effectLst/>
                  </pic:spPr>
                </pic:pic>
              </a:graphicData>
            </a:graphic>
          </wp:inline>
        </w:drawing>
      </w:r>
    </w:p>
    <w:p w:rsidR="00E8756F" w:rsidRDefault="00E8756F" w:rsidP="00E8756F">
      <w:pPr>
        <w:tabs>
          <w:tab w:val="left" w:pos="900"/>
          <w:tab w:val="right" w:pos="3754"/>
        </w:tabs>
        <w:autoSpaceDE w:val="0"/>
        <w:autoSpaceDN w:val="0"/>
        <w:bidi w:val="0"/>
        <w:adjustRightInd w:val="0"/>
        <w:spacing w:line="360" w:lineRule="auto"/>
        <w:jc w:val="center"/>
        <w:rPr>
          <w:lang w:val="fr-FR" w:eastAsia="fr-FR"/>
        </w:rPr>
      </w:pPr>
    </w:p>
    <w:p w:rsidR="00E8756F" w:rsidRDefault="00E8756F" w:rsidP="00E8756F">
      <w:pPr>
        <w:tabs>
          <w:tab w:val="right" w:pos="3754"/>
        </w:tabs>
        <w:autoSpaceDE w:val="0"/>
        <w:autoSpaceDN w:val="0"/>
        <w:bidi w:val="0"/>
        <w:adjustRightInd w:val="0"/>
        <w:jc w:val="center"/>
        <w:rPr>
          <w:lang w:val="fr-FR" w:eastAsia="en-US"/>
        </w:rPr>
      </w:pPr>
      <w:r>
        <w:rPr>
          <w:b/>
          <w:bCs/>
          <w:lang w:val="fr-FR" w:eastAsia="en-US"/>
        </w:rPr>
        <w:t xml:space="preserve">Figure 7: </w:t>
      </w:r>
      <w:r>
        <w:rPr>
          <w:lang w:val="fr-FR" w:eastAsia="en-US"/>
        </w:rPr>
        <w:t>Structure histologique de thymus. x 12,5 (Bacha et Bacha, 2000).</w:t>
      </w:r>
    </w:p>
    <w:p w:rsidR="00E8756F" w:rsidRDefault="00E8756F" w:rsidP="00E8756F">
      <w:pPr>
        <w:tabs>
          <w:tab w:val="right" w:pos="3754"/>
        </w:tabs>
        <w:autoSpaceDE w:val="0"/>
        <w:autoSpaceDN w:val="0"/>
        <w:bidi w:val="0"/>
        <w:adjustRightInd w:val="0"/>
        <w:jc w:val="center"/>
        <w:rPr>
          <w:sz w:val="20"/>
          <w:szCs w:val="20"/>
          <w:lang w:val="fr-FR" w:eastAsia="en-US"/>
        </w:rPr>
      </w:pPr>
      <w:r>
        <w:rPr>
          <w:sz w:val="20"/>
          <w:szCs w:val="20"/>
          <w:lang w:val="fr-FR" w:eastAsia="en-US"/>
        </w:rPr>
        <w:t>3:Cortex, 7 : La médullaire .11 : Structure réticulaire  12 : Septum.</w:t>
      </w:r>
    </w:p>
    <w:p w:rsidR="00E8756F" w:rsidRDefault="00E8756F" w:rsidP="00E8756F">
      <w:pPr>
        <w:tabs>
          <w:tab w:val="left" w:pos="900"/>
          <w:tab w:val="right" w:pos="3754"/>
        </w:tabs>
        <w:autoSpaceDE w:val="0"/>
        <w:autoSpaceDN w:val="0"/>
        <w:bidi w:val="0"/>
        <w:adjustRightInd w:val="0"/>
        <w:spacing w:line="360" w:lineRule="auto"/>
        <w:jc w:val="lowKashida"/>
        <w:rPr>
          <w:lang w:val="fr-FR" w:eastAsia="fr-FR"/>
        </w:rPr>
      </w:pPr>
    </w:p>
    <w:p w:rsidR="00E8756F" w:rsidRDefault="00E8756F" w:rsidP="00E8756F">
      <w:pPr>
        <w:tabs>
          <w:tab w:val="left" w:pos="900"/>
          <w:tab w:val="right" w:pos="3754"/>
        </w:tabs>
        <w:autoSpaceDE w:val="0"/>
        <w:autoSpaceDN w:val="0"/>
        <w:bidi w:val="0"/>
        <w:adjustRightInd w:val="0"/>
        <w:spacing w:line="360" w:lineRule="auto"/>
        <w:jc w:val="lowKashida"/>
        <w:rPr>
          <w:lang w:val="fr-FR" w:eastAsia="fr-FR"/>
        </w:rPr>
      </w:pPr>
      <w:r>
        <w:rPr>
          <w:lang w:val="fr-FR" w:eastAsia="fr-FR"/>
        </w:rPr>
        <w:t>Le lobule thymique est l'unité fonctionnelle, la densité cellulaire permet de décrire sur les coupes histologiques du thymus deux zones (figure 7) :</w:t>
      </w:r>
    </w:p>
    <w:p w:rsidR="00E8756F" w:rsidRDefault="00E8756F" w:rsidP="00E8756F">
      <w:pPr>
        <w:tabs>
          <w:tab w:val="left" w:pos="900"/>
          <w:tab w:val="right" w:pos="3754"/>
        </w:tabs>
        <w:autoSpaceDE w:val="0"/>
        <w:autoSpaceDN w:val="0"/>
        <w:bidi w:val="0"/>
        <w:adjustRightInd w:val="0"/>
        <w:spacing w:line="360" w:lineRule="auto"/>
        <w:jc w:val="lowKashida"/>
        <w:rPr>
          <w:lang w:val="fr-FR" w:eastAsia="fr-FR"/>
        </w:rPr>
      </w:pPr>
      <w:r>
        <w:rPr>
          <w:lang w:val="fr-FR" w:eastAsia="fr-FR"/>
        </w:rPr>
        <w:t xml:space="preserve"> - Une zone périphérique sombre ; la zone corticale partiellement cloisonnée par des expansions du tissus conjonctif </w:t>
      </w:r>
      <w:proofErr w:type="spellStart"/>
      <w:r>
        <w:rPr>
          <w:lang w:val="fr-FR" w:eastAsia="fr-FR"/>
        </w:rPr>
        <w:t>périlobulaire</w:t>
      </w:r>
      <w:proofErr w:type="spellEnd"/>
      <w:r>
        <w:rPr>
          <w:lang w:val="fr-FR" w:eastAsia="fr-FR"/>
        </w:rPr>
        <w:t xml:space="preserve">. </w:t>
      </w:r>
    </w:p>
    <w:p w:rsidR="00E8756F" w:rsidRDefault="00E8756F" w:rsidP="00E8756F">
      <w:pPr>
        <w:tabs>
          <w:tab w:val="left" w:pos="900"/>
          <w:tab w:val="right" w:pos="3754"/>
        </w:tabs>
        <w:autoSpaceDE w:val="0"/>
        <w:autoSpaceDN w:val="0"/>
        <w:bidi w:val="0"/>
        <w:adjustRightInd w:val="0"/>
        <w:spacing w:line="360" w:lineRule="auto"/>
        <w:jc w:val="lowKashida"/>
        <w:rPr>
          <w:lang w:val="fr-FR" w:eastAsia="fr-FR"/>
        </w:rPr>
      </w:pPr>
      <w:r>
        <w:rPr>
          <w:lang w:val="fr-FR" w:eastAsia="fr-FR"/>
        </w:rPr>
        <w:t xml:space="preserve">- Une zone plus claire centrale : la zone médullaire qui renferme les corpuscules de </w:t>
      </w:r>
      <w:proofErr w:type="spellStart"/>
      <w:r>
        <w:rPr>
          <w:lang w:val="fr-FR" w:eastAsia="fr-FR"/>
        </w:rPr>
        <w:t>Hassal</w:t>
      </w:r>
      <w:proofErr w:type="spellEnd"/>
      <w:r>
        <w:rPr>
          <w:b/>
          <w:bCs/>
          <w:lang w:val="fr-FR"/>
        </w:rPr>
        <w:t xml:space="preserve"> </w:t>
      </w:r>
      <w:r>
        <w:rPr>
          <w:lang w:val="fr-FR"/>
        </w:rPr>
        <w:t>(</w:t>
      </w:r>
      <w:proofErr w:type="spellStart"/>
      <w:r>
        <w:rPr>
          <w:rStyle w:val="author"/>
          <w:lang w:val="fr-FR"/>
        </w:rPr>
        <w:t>Blau</w:t>
      </w:r>
      <w:proofErr w:type="spellEnd"/>
      <w:r>
        <w:rPr>
          <w:lang w:val="fr-FR"/>
        </w:rPr>
        <w:t xml:space="preserve"> ,1967; D’Anna, 1981</w:t>
      </w:r>
      <w:r>
        <w:rPr>
          <w:lang w:val="fr-FR" w:eastAsia="fr-FR"/>
        </w:rPr>
        <w:t>).</w:t>
      </w:r>
    </w:p>
    <w:p w:rsidR="00E8756F" w:rsidRDefault="00E8756F" w:rsidP="00E8756F">
      <w:pPr>
        <w:tabs>
          <w:tab w:val="right" w:pos="3754"/>
        </w:tabs>
        <w:autoSpaceDE w:val="0"/>
        <w:autoSpaceDN w:val="0"/>
        <w:bidi w:val="0"/>
        <w:adjustRightInd w:val="0"/>
        <w:spacing w:line="360" w:lineRule="auto"/>
        <w:rPr>
          <w:lang w:val="fr-FR"/>
        </w:rPr>
      </w:pPr>
      <w:r>
        <w:rPr>
          <w:b/>
          <w:bCs/>
          <w:lang w:val="fr-FR" w:bidi="ar-DZ"/>
        </w:rPr>
        <w:t xml:space="preserve">I.1.2.2. </w:t>
      </w:r>
      <w:r>
        <w:rPr>
          <w:b/>
          <w:bCs/>
          <w:lang w:val="fr-FR"/>
        </w:rPr>
        <w:t>Rôle du thymus :</w:t>
      </w:r>
      <w:r>
        <w:rPr>
          <w:lang w:val="fr-FR"/>
        </w:rPr>
        <w:t xml:space="preserve"> </w:t>
      </w:r>
    </w:p>
    <w:p w:rsidR="00840E49" w:rsidRDefault="00E8756F" w:rsidP="00840E49">
      <w:pPr>
        <w:spacing w:line="360" w:lineRule="auto"/>
        <w:jc w:val="right"/>
        <w:rPr>
          <w:rFonts w:ascii="Times-Roman" w:hAnsi="Times-Roman" w:cs="Times-Roman"/>
          <w:lang w:val="fr-FR" w:eastAsia="en-US"/>
        </w:rPr>
      </w:pPr>
      <w:r>
        <w:rPr>
          <w:lang w:val="fr-FR"/>
        </w:rPr>
        <w:t>Le</w:t>
      </w:r>
      <w:r>
        <w:rPr>
          <w:rFonts w:ascii="Times-Roman" w:hAnsi="Times-Roman" w:cs="Times-Roman"/>
          <w:lang w:val="fr-FR" w:eastAsia="en-US"/>
        </w:rPr>
        <w:t xml:space="preserve"> rôle du thymus des oiseaux dans la maturation des lymphocytes T est identique à</w:t>
      </w:r>
    </w:p>
    <w:p w:rsidR="00840E49" w:rsidRDefault="00840E49" w:rsidP="00840E49">
      <w:pPr>
        <w:spacing w:line="360" w:lineRule="auto"/>
        <w:jc w:val="right"/>
        <w:rPr>
          <w:rFonts w:ascii="Times-Roman" w:hAnsi="Times-Roman" w:cs="Times-Roman"/>
          <w:lang w:val="fr-FR" w:eastAsia="en-US"/>
        </w:rPr>
      </w:pPr>
      <w:proofErr w:type="gramStart"/>
      <w:r>
        <w:rPr>
          <w:rFonts w:ascii="Times-Roman" w:hAnsi="Times-Roman" w:cs="Times-Roman"/>
          <w:lang w:val="fr-FR" w:eastAsia="en-US"/>
        </w:rPr>
        <w:t>celui</w:t>
      </w:r>
      <w:proofErr w:type="gramEnd"/>
      <w:r>
        <w:rPr>
          <w:rFonts w:ascii="Times-Roman" w:hAnsi="Times-Roman" w:cs="Times-Roman"/>
          <w:lang w:val="fr-FR" w:eastAsia="en-US"/>
        </w:rPr>
        <w:t xml:space="preserve"> des</w:t>
      </w:r>
      <w:r>
        <w:rPr>
          <w:lang w:val="fr-FR"/>
        </w:rPr>
        <w:t xml:space="preserve"> </w:t>
      </w:r>
      <w:r>
        <w:rPr>
          <w:rFonts w:ascii="Times-Roman" w:hAnsi="Times-Roman" w:cs="Times-Roman"/>
          <w:lang w:val="fr-FR" w:eastAsia="en-US"/>
        </w:rPr>
        <w:t>mammifères.</w:t>
      </w:r>
    </w:p>
    <w:p w:rsidR="00E8756F" w:rsidRPr="00840E49" w:rsidRDefault="00E8756F" w:rsidP="00840E49">
      <w:pPr>
        <w:spacing w:line="360" w:lineRule="auto"/>
        <w:jc w:val="right"/>
        <w:rPr>
          <w:rFonts w:ascii="Times-Roman" w:hAnsi="Times-Roman" w:cs="Times-Roman"/>
          <w:lang w:val="fr-FR" w:eastAsia="en-US"/>
        </w:rPr>
      </w:pPr>
      <w:r>
        <w:rPr>
          <w:lang w:val="fr-FR" w:bidi="ar-DZ"/>
        </w:rPr>
        <w:t>Le thymus agit donc comme un organe</w:t>
      </w:r>
      <w:r>
        <w:rPr>
          <w:lang w:val="fr-FR"/>
        </w:rPr>
        <w:t xml:space="preserve"> </w:t>
      </w:r>
      <w:r>
        <w:rPr>
          <w:lang w:val="fr-FR" w:bidi="ar-DZ"/>
        </w:rPr>
        <w:t>permettant la</w:t>
      </w:r>
      <w:r w:rsidR="00840E49">
        <w:rPr>
          <w:rFonts w:ascii="Times-Roman" w:hAnsi="Times-Roman" w:cs="Times-Roman"/>
          <w:lang w:val="fr-FR" w:eastAsia="en-US"/>
        </w:rPr>
        <w:t xml:space="preserve"> </w:t>
      </w:r>
      <w:r w:rsidR="00840E49">
        <w:rPr>
          <w:lang w:val="fr-FR" w:bidi="ar-DZ"/>
        </w:rPr>
        <w:t>différenciation lymphocytaire T.</w:t>
      </w:r>
      <w:r>
        <w:rPr>
          <w:lang w:val="fr-FR" w:bidi="ar-DZ"/>
        </w:rPr>
        <w:t xml:space="preserve"> </w:t>
      </w:r>
    </w:p>
    <w:p w:rsidR="00E8756F" w:rsidRDefault="00E8756F" w:rsidP="00E8756F">
      <w:pPr>
        <w:tabs>
          <w:tab w:val="right" w:pos="3754"/>
        </w:tabs>
        <w:autoSpaceDE w:val="0"/>
        <w:autoSpaceDN w:val="0"/>
        <w:bidi w:val="0"/>
        <w:adjustRightInd w:val="0"/>
        <w:spacing w:line="360" w:lineRule="auto"/>
        <w:jc w:val="both"/>
        <w:rPr>
          <w:b/>
          <w:bCs/>
          <w:lang w:val="fr-FR"/>
        </w:rPr>
      </w:pPr>
      <w:r>
        <w:rPr>
          <w:b/>
          <w:bCs/>
          <w:lang w:val="fr-FR" w:bidi="ar-DZ"/>
        </w:rPr>
        <w:t xml:space="preserve">I.1.2.3. </w:t>
      </w:r>
      <w:r>
        <w:rPr>
          <w:b/>
          <w:bCs/>
          <w:lang w:val="fr-FR"/>
        </w:rPr>
        <w:t>Involution du thymus:</w:t>
      </w:r>
    </w:p>
    <w:p w:rsidR="00E8756F" w:rsidRDefault="00E8756F" w:rsidP="00E8756F">
      <w:pPr>
        <w:tabs>
          <w:tab w:val="right" w:pos="3754"/>
        </w:tabs>
        <w:autoSpaceDE w:val="0"/>
        <w:autoSpaceDN w:val="0"/>
        <w:bidi w:val="0"/>
        <w:adjustRightInd w:val="0"/>
        <w:spacing w:line="360" w:lineRule="auto"/>
        <w:jc w:val="both"/>
        <w:rPr>
          <w:lang w:val="fr-FR" w:eastAsia="fr-FR"/>
        </w:rPr>
      </w:pPr>
      <w:r>
        <w:rPr>
          <w:lang w:val="fr-FR" w:eastAsia="fr-FR"/>
        </w:rPr>
        <w:t xml:space="preserve"> Le thymus du poulet de chair agit comme un organe lymphoïde périphérique où l’involution s’effectue avec l’âge, il se charge progressivement de graisse ; cette involution s’achève vers l’âge de la maturation sexuelle c’est-à-dire lors de la mise en fonction des gonades (</w:t>
      </w:r>
      <w:proofErr w:type="spellStart"/>
      <w:r>
        <w:rPr>
          <w:lang w:val="fr-FR" w:eastAsia="fr-FR"/>
        </w:rPr>
        <w:t>Brugere</w:t>
      </w:r>
      <w:proofErr w:type="spellEnd"/>
      <w:r>
        <w:rPr>
          <w:lang w:val="fr-FR" w:eastAsia="fr-FR"/>
        </w:rPr>
        <w:t>-</w:t>
      </w:r>
      <w:proofErr w:type="spellStart"/>
      <w:r>
        <w:rPr>
          <w:lang w:val="fr-FR" w:eastAsia="fr-FR"/>
        </w:rPr>
        <w:t>picoux</w:t>
      </w:r>
      <w:proofErr w:type="spellEnd"/>
      <w:r>
        <w:rPr>
          <w:lang w:val="fr-FR" w:eastAsia="fr-FR"/>
        </w:rPr>
        <w:t xml:space="preserve"> et </w:t>
      </w:r>
      <w:r>
        <w:rPr>
          <w:i/>
          <w:iCs/>
          <w:lang w:val="fr-FR" w:eastAsia="fr-FR"/>
        </w:rPr>
        <w:t>al</w:t>
      </w:r>
      <w:r>
        <w:rPr>
          <w:lang w:val="fr-FR" w:eastAsia="fr-FR"/>
        </w:rPr>
        <w:t>, 1992).</w:t>
      </w:r>
    </w:p>
    <w:p w:rsidR="00E8756F" w:rsidRDefault="00E8756F" w:rsidP="00E8756F">
      <w:pPr>
        <w:tabs>
          <w:tab w:val="right" w:pos="3754"/>
        </w:tabs>
        <w:autoSpaceDE w:val="0"/>
        <w:autoSpaceDN w:val="0"/>
        <w:bidi w:val="0"/>
        <w:adjustRightInd w:val="0"/>
        <w:spacing w:line="360" w:lineRule="auto"/>
        <w:jc w:val="both"/>
        <w:rPr>
          <w:color w:val="FF0000"/>
          <w:lang w:val="fr-FR" w:eastAsia="fr-FR"/>
        </w:rPr>
      </w:pPr>
      <w:r>
        <w:rPr>
          <w:lang w:val="fr-FR" w:eastAsia="fr-FR"/>
        </w:rPr>
        <w:t>L’atrophie intéresse d’abord le cortex, qui devient de plus en plus étroit, tandis que le parenchyme s’infiltre de tissu adipeux et finit par l’involution à partir de la 20</w:t>
      </w:r>
      <w:r>
        <w:rPr>
          <w:vertAlign w:val="superscript"/>
          <w:lang w:val="fr-FR" w:eastAsia="fr-FR"/>
        </w:rPr>
        <w:t>ème</w:t>
      </w:r>
      <w:r>
        <w:rPr>
          <w:lang w:val="fr-FR" w:eastAsia="fr-FR"/>
        </w:rPr>
        <w:t xml:space="preserve"> </w:t>
      </w:r>
      <w:r>
        <w:rPr>
          <w:lang w:val="fr-FR" w:eastAsia="fr-FR"/>
        </w:rPr>
        <w:lastRenderedPageBreak/>
        <w:t>jusqu’à la 23</w:t>
      </w:r>
      <w:r>
        <w:rPr>
          <w:vertAlign w:val="superscript"/>
          <w:lang w:val="fr-FR" w:eastAsia="fr-FR"/>
        </w:rPr>
        <w:t>ème</w:t>
      </w:r>
      <w:r>
        <w:rPr>
          <w:lang w:val="fr-FR" w:eastAsia="fr-FR"/>
        </w:rPr>
        <w:t xml:space="preserve"> semaine d’âge (Pastoret et </w:t>
      </w:r>
      <w:r>
        <w:rPr>
          <w:i/>
          <w:iCs/>
          <w:lang w:val="fr-FR" w:eastAsia="fr-FR"/>
        </w:rPr>
        <w:t>al</w:t>
      </w:r>
      <w:r>
        <w:rPr>
          <w:lang w:val="fr-FR" w:eastAsia="fr-FR"/>
        </w:rPr>
        <w:t>, 1990, Khenenou, 2008</w:t>
      </w:r>
      <w:r>
        <w:rPr>
          <w:lang w:val="fr-FR"/>
        </w:rPr>
        <w:t xml:space="preserve"> ; </w:t>
      </w:r>
      <w:proofErr w:type="spellStart"/>
      <w:r>
        <w:rPr>
          <w:lang w:val="fr-FR"/>
        </w:rPr>
        <w:t>Ciriaco</w:t>
      </w:r>
      <w:proofErr w:type="spellEnd"/>
      <w:r>
        <w:rPr>
          <w:lang w:val="fr-FR"/>
        </w:rPr>
        <w:t xml:space="preserve"> et </w:t>
      </w:r>
      <w:r>
        <w:rPr>
          <w:i/>
          <w:iCs/>
          <w:lang w:val="fr-FR"/>
        </w:rPr>
        <w:t>al</w:t>
      </w:r>
      <w:r>
        <w:rPr>
          <w:lang w:val="fr-FR"/>
        </w:rPr>
        <w:t>, 2003</w:t>
      </w:r>
      <w:r>
        <w:rPr>
          <w:lang w:val="fr-FR" w:eastAsia="fr-FR"/>
        </w:rPr>
        <w:t>)</w:t>
      </w:r>
      <w:r>
        <w:rPr>
          <w:color w:val="FF0000"/>
          <w:lang w:val="fr-FR" w:eastAsia="fr-FR"/>
        </w:rPr>
        <w:t>.</w:t>
      </w:r>
    </w:p>
    <w:p w:rsidR="00E8756F" w:rsidRDefault="00E8756F" w:rsidP="00E8756F">
      <w:pPr>
        <w:tabs>
          <w:tab w:val="right" w:pos="720"/>
          <w:tab w:val="right" w:pos="3754"/>
        </w:tabs>
        <w:bidi w:val="0"/>
        <w:spacing w:line="360" w:lineRule="auto"/>
        <w:jc w:val="both"/>
        <w:rPr>
          <w:b/>
          <w:bCs/>
          <w:lang w:val="fr-FR"/>
        </w:rPr>
      </w:pPr>
      <w:r>
        <w:rPr>
          <w:b/>
          <w:bCs/>
          <w:lang w:val="fr-FR"/>
        </w:rPr>
        <w:t xml:space="preserve">I.2. Organes et tissus lymphoïdes secondaires ou périphériques : </w:t>
      </w:r>
      <w:r>
        <w:rPr>
          <w:lang w:val="fr-FR"/>
        </w:rPr>
        <w:t>Les organes lymphoïdes secondaires ou périphériques se forment à partir du mésoderme de l’embryon et persistent pendant toute la vie de l’animal. Ils comprennent la rate, les nodules lymphatiques, la moelle osseuse, et les tissus lymphoïdes diffus tels que le GALT (</w:t>
      </w:r>
      <w:proofErr w:type="spellStart"/>
      <w:r>
        <w:rPr>
          <w:lang w:val="fr-FR"/>
        </w:rPr>
        <w:t>gut</w:t>
      </w:r>
      <w:proofErr w:type="spellEnd"/>
      <w:r>
        <w:rPr>
          <w:lang w:val="fr-FR"/>
        </w:rPr>
        <w:t>-</w:t>
      </w:r>
      <w:proofErr w:type="spellStart"/>
      <w:r>
        <w:rPr>
          <w:lang w:val="fr-FR"/>
        </w:rPr>
        <w:t>associated</w:t>
      </w:r>
      <w:proofErr w:type="spellEnd"/>
      <w:r>
        <w:rPr>
          <w:lang w:val="fr-FR"/>
        </w:rPr>
        <w:t xml:space="preserve"> </w:t>
      </w:r>
      <w:proofErr w:type="spellStart"/>
      <w:r>
        <w:rPr>
          <w:lang w:val="fr-FR"/>
        </w:rPr>
        <w:t>lymphoid</w:t>
      </w:r>
      <w:proofErr w:type="spellEnd"/>
      <w:r>
        <w:rPr>
          <w:lang w:val="fr-FR"/>
        </w:rPr>
        <w:t xml:space="preserve"> tissue), le BALT (branchial-</w:t>
      </w:r>
      <w:proofErr w:type="spellStart"/>
      <w:r>
        <w:rPr>
          <w:lang w:val="fr-FR"/>
        </w:rPr>
        <w:t>associated</w:t>
      </w:r>
      <w:proofErr w:type="spellEnd"/>
      <w:r>
        <w:rPr>
          <w:lang w:val="fr-FR"/>
        </w:rPr>
        <w:t xml:space="preserve"> </w:t>
      </w:r>
      <w:proofErr w:type="spellStart"/>
      <w:r>
        <w:rPr>
          <w:lang w:val="fr-FR"/>
        </w:rPr>
        <w:t>lymphoid</w:t>
      </w:r>
      <w:proofErr w:type="spellEnd"/>
      <w:r>
        <w:rPr>
          <w:lang w:val="fr-FR"/>
        </w:rPr>
        <w:t xml:space="preserve"> tissue et le</w:t>
      </w:r>
      <w:r>
        <w:rPr>
          <w:b/>
          <w:bCs/>
          <w:lang w:val="fr-FR"/>
        </w:rPr>
        <w:t xml:space="preserve"> </w:t>
      </w:r>
      <w:r>
        <w:rPr>
          <w:lang w:val="fr-FR"/>
        </w:rPr>
        <w:t>HALT (</w:t>
      </w:r>
      <w:proofErr w:type="spellStart"/>
      <w:r>
        <w:rPr>
          <w:lang w:val="fr-FR"/>
        </w:rPr>
        <w:t>head</w:t>
      </w:r>
      <w:proofErr w:type="spellEnd"/>
      <w:r>
        <w:rPr>
          <w:lang w:val="fr-FR"/>
        </w:rPr>
        <w:t>-</w:t>
      </w:r>
      <w:proofErr w:type="spellStart"/>
      <w:r>
        <w:rPr>
          <w:lang w:val="fr-FR"/>
        </w:rPr>
        <w:t>associated</w:t>
      </w:r>
      <w:proofErr w:type="spellEnd"/>
      <w:r>
        <w:rPr>
          <w:lang w:val="fr-FR"/>
        </w:rPr>
        <w:t xml:space="preserve"> </w:t>
      </w:r>
      <w:proofErr w:type="spellStart"/>
      <w:r>
        <w:rPr>
          <w:lang w:val="fr-FR"/>
        </w:rPr>
        <w:t>lymphoid</w:t>
      </w:r>
      <w:proofErr w:type="spellEnd"/>
      <w:r>
        <w:rPr>
          <w:lang w:val="fr-FR"/>
        </w:rPr>
        <w:t xml:space="preserve"> tissue).</w:t>
      </w:r>
    </w:p>
    <w:p w:rsidR="00E8756F" w:rsidRDefault="00E8756F" w:rsidP="00E8756F">
      <w:pPr>
        <w:tabs>
          <w:tab w:val="left" w:pos="900"/>
          <w:tab w:val="right" w:pos="3754"/>
        </w:tabs>
        <w:autoSpaceDE w:val="0"/>
        <w:autoSpaceDN w:val="0"/>
        <w:bidi w:val="0"/>
        <w:adjustRightInd w:val="0"/>
        <w:spacing w:line="360" w:lineRule="auto"/>
        <w:jc w:val="both"/>
        <w:rPr>
          <w:b/>
          <w:bCs/>
          <w:rtl/>
          <w:lang w:val="fr-FR" w:bidi="ar-DZ"/>
        </w:rPr>
      </w:pPr>
      <w:r>
        <w:rPr>
          <w:b/>
          <w:bCs/>
          <w:lang w:val="fr-FR" w:bidi="ar-DZ"/>
        </w:rPr>
        <w:t>I.2.1. Rate:</w:t>
      </w:r>
    </w:p>
    <w:p w:rsidR="00E8756F" w:rsidRDefault="00E8756F" w:rsidP="00E8756F">
      <w:pPr>
        <w:tabs>
          <w:tab w:val="left" w:pos="900"/>
          <w:tab w:val="right" w:pos="3754"/>
        </w:tabs>
        <w:autoSpaceDE w:val="0"/>
        <w:autoSpaceDN w:val="0"/>
        <w:bidi w:val="0"/>
        <w:adjustRightInd w:val="0"/>
        <w:spacing w:line="360" w:lineRule="auto"/>
        <w:jc w:val="lowKashida"/>
        <w:rPr>
          <w:lang w:val="fr-FR" w:eastAsia="fr-FR"/>
        </w:rPr>
      </w:pPr>
      <w:r>
        <w:rPr>
          <w:b/>
          <w:bCs/>
          <w:lang w:val="fr-FR" w:bidi="ar-DZ"/>
        </w:rPr>
        <w:t>Définition:</w:t>
      </w:r>
      <w:r>
        <w:rPr>
          <w:lang w:val="fr-FR" w:eastAsia="fr-FR"/>
        </w:rPr>
        <w:t xml:space="preserve"> </w:t>
      </w:r>
    </w:p>
    <w:p w:rsidR="00E8756F" w:rsidRDefault="00E8756F" w:rsidP="00E8756F">
      <w:pPr>
        <w:tabs>
          <w:tab w:val="right" w:pos="3754"/>
          <w:tab w:val="left" w:pos="6711"/>
        </w:tabs>
        <w:autoSpaceDE w:val="0"/>
        <w:autoSpaceDN w:val="0"/>
        <w:bidi w:val="0"/>
        <w:adjustRightInd w:val="0"/>
        <w:spacing w:line="360" w:lineRule="auto"/>
        <w:jc w:val="lowKashida"/>
        <w:rPr>
          <w:rtl/>
          <w:lang w:val="fr-FR"/>
        </w:rPr>
      </w:pPr>
      <w:r>
        <w:rPr>
          <w:lang w:val="fr-FR"/>
        </w:rPr>
        <w:t xml:space="preserve">La rate est un organe lymphoïde situé sur le trajet de la circulation sanguine à la face médiale du ventricule succenturié. La </w:t>
      </w:r>
      <w:proofErr w:type="spellStart"/>
      <w:r>
        <w:rPr>
          <w:lang w:val="fr-FR"/>
        </w:rPr>
        <w:t>granulopoièse</w:t>
      </w:r>
      <w:proofErr w:type="spellEnd"/>
      <w:r>
        <w:rPr>
          <w:lang w:val="fr-FR"/>
        </w:rPr>
        <w:t xml:space="preserve"> et l'érythropoïèse constituent les </w:t>
      </w:r>
    </w:p>
    <w:p w:rsidR="00E8756F" w:rsidRDefault="00E8756F" w:rsidP="00E8756F">
      <w:pPr>
        <w:tabs>
          <w:tab w:val="right" w:pos="3754"/>
          <w:tab w:val="left" w:pos="6711"/>
        </w:tabs>
        <w:autoSpaceDE w:val="0"/>
        <w:autoSpaceDN w:val="0"/>
        <w:bidi w:val="0"/>
        <w:adjustRightInd w:val="0"/>
        <w:spacing w:line="360" w:lineRule="auto"/>
        <w:jc w:val="lowKashida"/>
        <w:rPr>
          <w:color w:val="666666"/>
          <w:lang w:val="fr-FR"/>
        </w:rPr>
      </w:pPr>
      <w:proofErr w:type="gramStart"/>
      <w:r>
        <w:rPr>
          <w:lang w:val="fr-FR"/>
        </w:rPr>
        <w:t>deux</w:t>
      </w:r>
      <w:proofErr w:type="gramEnd"/>
      <w:r>
        <w:rPr>
          <w:lang w:val="fr-FR"/>
        </w:rPr>
        <w:t xml:space="preserve"> fonctions essentielles de la rate durant la vie embryonnaire, période au cours de laquelle l’organe est colonisé par les cellules lymphoïdes ayant achevées leur éducation au niveau des organes lymphoïdes primaires. Après l’éclosion la rate est complètement développée (</w:t>
      </w:r>
      <w:proofErr w:type="spellStart"/>
      <w:r>
        <w:rPr>
          <w:lang w:val="fr-FR"/>
        </w:rPr>
        <w:t>Brugère</w:t>
      </w:r>
      <w:proofErr w:type="spellEnd"/>
      <w:r>
        <w:rPr>
          <w:lang w:val="fr-FR"/>
        </w:rPr>
        <w:t>-</w:t>
      </w:r>
      <w:proofErr w:type="spellStart"/>
      <w:r>
        <w:rPr>
          <w:lang w:val="fr-FR"/>
        </w:rPr>
        <w:t>Picoux</w:t>
      </w:r>
      <w:proofErr w:type="spellEnd"/>
      <w:r>
        <w:rPr>
          <w:lang w:val="fr-FR"/>
        </w:rPr>
        <w:t xml:space="preserve">  et </w:t>
      </w:r>
      <w:r>
        <w:rPr>
          <w:i/>
          <w:iCs/>
          <w:lang w:val="fr-FR"/>
        </w:rPr>
        <w:t>al</w:t>
      </w:r>
      <w:r>
        <w:rPr>
          <w:lang w:val="fr-FR"/>
        </w:rPr>
        <w:t>, 1992 ; Fred, 2008)</w:t>
      </w:r>
      <w:r>
        <w:rPr>
          <w:lang w:val="fr-FR"/>
        </w:rPr>
        <w:tab/>
      </w:r>
    </w:p>
    <w:p w:rsidR="00E8756F" w:rsidRDefault="00E8756F" w:rsidP="00E8756F">
      <w:pPr>
        <w:tabs>
          <w:tab w:val="left" w:pos="900"/>
          <w:tab w:val="right" w:pos="3754"/>
        </w:tabs>
        <w:autoSpaceDE w:val="0"/>
        <w:autoSpaceDN w:val="0"/>
        <w:bidi w:val="0"/>
        <w:adjustRightInd w:val="0"/>
        <w:spacing w:line="360" w:lineRule="auto"/>
        <w:jc w:val="both"/>
        <w:rPr>
          <w:lang w:val="fr-FR"/>
        </w:rPr>
      </w:pPr>
      <w:r>
        <w:rPr>
          <w:b/>
          <w:bCs/>
          <w:lang w:val="fr-FR" w:bidi="ar-DZ"/>
        </w:rPr>
        <w:t>I.2.</w:t>
      </w:r>
      <w:r>
        <w:rPr>
          <w:rFonts w:hint="cs"/>
          <w:b/>
          <w:bCs/>
          <w:rtl/>
          <w:lang w:val="fr-FR" w:bidi="ar-DZ"/>
        </w:rPr>
        <w:t>1</w:t>
      </w:r>
      <w:r>
        <w:rPr>
          <w:b/>
          <w:bCs/>
          <w:lang w:val="fr-FR" w:bidi="ar-DZ"/>
        </w:rPr>
        <w:t xml:space="preserve">.1. </w:t>
      </w:r>
      <w:r>
        <w:rPr>
          <w:b/>
          <w:bCs/>
          <w:lang w:val="fr-FR"/>
        </w:rPr>
        <w:t xml:space="preserve">Anatomie et histologie: </w:t>
      </w:r>
      <w:r>
        <w:rPr>
          <w:lang w:val="fr-FR"/>
        </w:rPr>
        <w:t xml:space="preserve"> </w:t>
      </w:r>
    </w:p>
    <w:p w:rsidR="00E8756F" w:rsidRDefault="00E8756F" w:rsidP="00E8756F">
      <w:pPr>
        <w:tabs>
          <w:tab w:val="right" w:pos="3754"/>
        </w:tabs>
        <w:autoSpaceDE w:val="0"/>
        <w:autoSpaceDN w:val="0"/>
        <w:bidi w:val="0"/>
        <w:adjustRightInd w:val="0"/>
        <w:spacing w:line="360" w:lineRule="auto"/>
        <w:jc w:val="lowKashida"/>
        <w:rPr>
          <w:lang w:val="fr-FR"/>
        </w:rPr>
      </w:pPr>
      <w:r>
        <w:rPr>
          <w:lang w:val="fr-FR"/>
        </w:rPr>
        <w:t xml:space="preserve">La rate du poulet  est </w:t>
      </w:r>
      <w:r>
        <w:rPr>
          <w:rStyle w:val="lev"/>
          <w:lang w:val="fr-FR"/>
        </w:rPr>
        <w:t xml:space="preserve">sphérique, sa taille </w:t>
      </w:r>
      <w:r>
        <w:rPr>
          <w:lang w:val="fr-FR"/>
        </w:rPr>
        <w:t xml:space="preserve">mesure entre 10 et </w:t>
      </w:r>
      <w:smartTag w:uri="urn:schemas-microsoft-com:office:smarttags" w:element="metricconverter">
        <w:smartTagPr>
          <w:attr w:name="ProductID" w:val="15 mm"/>
        </w:smartTagPr>
        <w:r>
          <w:rPr>
            <w:lang w:val="fr-FR"/>
          </w:rPr>
          <w:t>15 mm</w:t>
        </w:r>
      </w:smartTag>
      <w:r>
        <w:rPr>
          <w:lang w:val="fr-FR"/>
        </w:rPr>
        <w:t xml:space="preserve"> de diamètre. Elle se situe au niveau de</w:t>
      </w:r>
      <w:r>
        <w:rPr>
          <w:b/>
          <w:bCs/>
          <w:lang w:val="fr-FR"/>
        </w:rPr>
        <w:t xml:space="preserve"> </w:t>
      </w:r>
      <w:r>
        <w:rPr>
          <w:lang w:val="fr-FR"/>
        </w:rPr>
        <w:t>la</w:t>
      </w:r>
      <w:r>
        <w:rPr>
          <w:b/>
          <w:bCs/>
          <w:lang w:val="fr-FR"/>
        </w:rPr>
        <w:t xml:space="preserve"> </w:t>
      </w:r>
      <w:r>
        <w:rPr>
          <w:rStyle w:val="lev"/>
          <w:lang w:val="fr-FR"/>
        </w:rPr>
        <w:t xml:space="preserve">jonction entre le </w:t>
      </w:r>
      <w:proofErr w:type="spellStart"/>
      <w:r>
        <w:rPr>
          <w:rStyle w:val="lev"/>
          <w:lang w:val="fr-FR"/>
        </w:rPr>
        <w:t>proventricule</w:t>
      </w:r>
      <w:proofErr w:type="spellEnd"/>
      <w:r>
        <w:rPr>
          <w:rStyle w:val="lev"/>
          <w:lang w:val="fr-FR"/>
        </w:rPr>
        <w:t xml:space="preserve"> et le ventricule</w:t>
      </w:r>
      <w:r>
        <w:rPr>
          <w:b/>
          <w:bCs/>
          <w:lang w:val="fr-FR"/>
        </w:rPr>
        <w:t xml:space="preserve">, </w:t>
      </w:r>
      <w:r>
        <w:rPr>
          <w:lang w:val="fr-FR"/>
        </w:rPr>
        <w:t>légèrement</w:t>
      </w:r>
      <w:r>
        <w:rPr>
          <w:b/>
          <w:bCs/>
          <w:lang w:val="fr-FR"/>
        </w:rPr>
        <w:t xml:space="preserve"> </w:t>
      </w:r>
      <w:r>
        <w:rPr>
          <w:rStyle w:val="lev"/>
          <w:lang w:val="fr-FR"/>
        </w:rPr>
        <w:t>à droite de la ligne médiane (figure 9),</w:t>
      </w:r>
      <w:r>
        <w:rPr>
          <w:lang w:val="fr-FR"/>
        </w:rPr>
        <w:t xml:space="preserve"> les  rapports anatomiques sont:</w:t>
      </w:r>
    </w:p>
    <w:p w:rsidR="00E8756F" w:rsidRDefault="00E8756F" w:rsidP="00E8756F">
      <w:pPr>
        <w:tabs>
          <w:tab w:val="right" w:pos="3754"/>
        </w:tabs>
        <w:autoSpaceDE w:val="0"/>
        <w:autoSpaceDN w:val="0"/>
        <w:bidi w:val="0"/>
        <w:adjustRightInd w:val="0"/>
        <w:spacing w:line="360" w:lineRule="auto"/>
        <w:jc w:val="lowKashida"/>
        <w:rPr>
          <w:b/>
          <w:bCs/>
          <w:lang w:val="fr-FR"/>
        </w:rPr>
      </w:pPr>
      <w:r>
        <w:rPr>
          <w:lang w:val="fr-FR"/>
        </w:rPr>
        <w:t>- la</w:t>
      </w:r>
      <w:r>
        <w:rPr>
          <w:b/>
          <w:bCs/>
          <w:lang w:val="fr-FR"/>
        </w:rPr>
        <w:t xml:space="preserve"> </w:t>
      </w:r>
      <w:r>
        <w:rPr>
          <w:rStyle w:val="lev"/>
          <w:lang w:val="fr-FR"/>
        </w:rPr>
        <w:t xml:space="preserve">surface dorsale du lobe droit du foie </w:t>
      </w:r>
      <w:proofErr w:type="spellStart"/>
      <w:r>
        <w:rPr>
          <w:lang w:val="fr-FR"/>
        </w:rPr>
        <w:t>ventralement</w:t>
      </w:r>
      <w:proofErr w:type="spellEnd"/>
      <w:r>
        <w:rPr>
          <w:lang w:val="fr-FR"/>
        </w:rPr>
        <w:t> ;</w:t>
      </w:r>
      <w:r>
        <w:rPr>
          <w:b/>
          <w:bCs/>
          <w:lang w:val="fr-FR"/>
        </w:rPr>
        <w:t xml:space="preserve"> </w:t>
      </w:r>
    </w:p>
    <w:p w:rsidR="00E8756F" w:rsidRDefault="00E8756F" w:rsidP="00E8756F">
      <w:pPr>
        <w:tabs>
          <w:tab w:val="right" w:pos="3754"/>
        </w:tabs>
        <w:autoSpaceDE w:val="0"/>
        <w:autoSpaceDN w:val="0"/>
        <w:bidi w:val="0"/>
        <w:adjustRightInd w:val="0"/>
        <w:spacing w:line="360" w:lineRule="auto"/>
        <w:rPr>
          <w:lang w:val="fr-FR"/>
        </w:rPr>
      </w:pPr>
      <w:r>
        <w:rPr>
          <w:lang w:val="fr-FR"/>
        </w:rPr>
        <w:t xml:space="preserve">- le </w:t>
      </w:r>
      <w:r>
        <w:rPr>
          <w:rStyle w:val="lev"/>
          <w:lang w:val="fr-FR"/>
        </w:rPr>
        <w:t>pro ventricule</w:t>
      </w:r>
      <w:r>
        <w:rPr>
          <w:lang w:val="fr-FR"/>
        </w:rPr>
        <w:t xml:space="preserve"> et le </w:t>
      </w:r>
      <w:r>
        <w:rPr>
          <w:rStyle w:val="lev"/>
          <w:lang w:val="fr-FR"/>
        </w:rPr>
        <w:t>ventricule</w:t>
      </w:r>
      <w:r>
        <w:rPr>
          <w:lang w:val="fr-FR"/>
        </w:rPr>
        <w:t xml:space="preserve"> à droite ;</w:t>
      </w:r>
      <w:r>
        <w:rPr>
          <w:lang w:val="fr-FR"/>
        </w:rPr>
        <w:br/>
        <w:t xml:space="preserve">- la </w:t>
      </w:r>
      <w:r>
        <w:rPr>
          <w:rStyle w:val="lev"/>
          <w:lang w:val="fr-FR"/>
        </w:rPr>
        <w:t>boucle duodénale</w:t>
      </w:r>
      <w:r>
        <w:rPr>
          <w:lang w:val="fr-FR"/>
        </w:rPr>
        <w:t xml:space="preserve"> et les </w:t>
      </w:r>
      <w:r>
        <w:rPr>
          <w:rStyle w:val="lev"/>
          <w:lang w:val="fr-FR"/>
        </w:rPr>
        <w:t>anses jéjunales</w:t>
      </w:r>
      <w:r>
        <w:rPr>
          <w:lang w:val="fr-FR"/>
        </w:rPr>
        <w:t xml:space="preserve"> à gauche ;</w:t>
      </w:r>
      <w:r>
        <w:rPr>
          <w:lang w:val="fr-FR"/>
        </w:rPr>
        <w:br/>
        <w:t xml:space="preserve">- l’iléon  et les </w:t>
      </w:r>
      <w:r>
        <w:rPr>
          <w:rStyle w:val="lev"/>
          <w:lang w:val="fr-FR"/>
        </w:rPr>
        <w:t>gonades</w:t>
      </w:r>
      <w:r>
        <w:rPr>
          <w:lang w:val="fr-FR"/>
        </w:rPr>
        <w:t xml:space="preserve"> dorsalement.</w:t>
      </w:r>
    </w:p>
    <w:p w:rsidR="00E8756F" w:rsidRDefault="00B13D16" w:rsidP="00E8756F">
      <w:pPr>
        <w:tabs>
          <w:tab w:val="right" w:pos="3754"/>
        </w:tabs>
        <w:autoSpaceDE w:val="0"/>
        <w:autoSpaceDN w:val="0"/>
        <w:bidi w:val="0"/>
        <w:adjustRightInd w:val="0"/>
        <w:spacing w:line="360" w:lineRule="auto"/>
        <w:jc w:val="center"/>
        <w:rPr>
          <w:b/>
          <w:bCs/>
          <w:lang w:val="fr-FR"/>
        </w:rPr>
      </w:pPr>
      <w:r w:rsidRPr="00B13D16">
        <w:lastRenderedPageBreak/>
        <w:pict>
          <v:rect id="_x0000_s1036" style="position:absolute;left:0;text-align:left;margin-left:297pt;margin-top:27.05pt;width:24pt;height:15.15pt;z-index:251671552" filled="f" stroked="f">
            <v:textbox style="mso-next-textbox:#_x0000_s1036" inset="0,0,0,0">
              <w:txbxContent>
                <w:p w:rsidR="00E8756F" w:rsidRDefault="00E8756F" w:rsidP="00E8756F">
                  <w:pPr>
                    <w:rPr>
                      <w:b/>
                      <w:bCs/>
                      <w:sz w:val="32"/>
                      <w:szCs w:val="32"/>
                    </w:rPr>
                  </w:pPr>
                  <w:r>
                    <w:rPr>
                      <w:b/>
                      <w:bCs/>
                      <w:sz w:val="32"/>
                      <w:szCs w:val="32"/>
                    </w:rPr>
                    <w:t>D</w:t>
                  </w:r>
                </w:p>
              </w:txbxContent>
            </v:textbox>
          </v:rect>
        </w:pict>
      </w:r>
      <w:r w:rsidRPr="00B13D16">
        <w:pict>
          <v:rect id="_x0000_s1037" style="position:absolute;left:0;text-align:left;margin-left:108pt;margin-top:171.05pt;width:24pt;height:15.15pt;z-index:251672576" filled="f" stroked="f">
            <v:textbox style="mso-next-textbox:#_x0000_s1037" inset="0,0,0,0">
              <w:txbxContent>
                <w:p w:rsidR="00E8756F" w:rsidRDefault="00E8756F" w:rsidP="00E8756F">
                  <w:pPr>
                    <w:rPr>
                      <w:b/>
                      <w:bCs/>
                      <w:color w:val="FF0000"/>
                    </w:rPr>
                  </w:pPr>
                  <w:r>
                    <w:rPr>
                      <w:b/>
                      <w:bCs/>
                      <w:color w:val="FF0000"/>
                    </w:rPr>
                    <w:t>C</w:t>
                  </w:r>
                </w:p>
              </w:txbxContent>
            </v:textbox>
          </v:rect>
        </w:pict>
      </w:r>
      <w:r w:rsidRPr="00B13D16">
        <w:pict>
          <v:rect id="_x0000_s1038" style="position:absolute;left:0;text-align:left;margin-left:180pt;margin-top:63.05pt;width:24pt;height:15.15pt;z-index:251673600" filled="f" stroked="f">
            <v:textbox style="mso-next-textbox:#_x0000_s1038" inset="0,0,0,0">
              <w:txbxContent>
                <w:p w:rsidR="00E8756F" w:rsidRDefault="00E8756F" w:rsidP="00E8756F">
                  <w:pPr>
                    <w:rPr>
                      <w:b/>
                      <w:bCs/>
                      <w:sz w:val="32"/>
                      <w:szCs w:val="32"/>
                      <w:lang w:val="fr-FR" w:bidi="ar-DZ"/>
                    </w:rPr>
                  </w:pPr>
                  <w:r>
                    <w:rPr>
                      <w:b/>
                      <w:bCs/>
                      <w:sz w:val="32"/>
                      <w:szCs w:val="32"/>
                      <w:lang w:val="fr-FR" w:bidi="ar-DZ"/>
                    </w:rPr>
                    <w:t>F</w:t>
                  </w:r>
                </w:p>
              </w:txbxContent>
            </v:textbox>
          </v:rect>
        </w:pict>
      </w:r>
      <w:r w:rsidRPr="00B13D16">
        <w:pict>
          <v:rect id="_x0000_s1039" style="position:absolute;left:0;text-align:left;margin-left:249pt;margin-top:88.7pt;width:24pt;height:15.15pt;z-index:251674624" filled="f" stroked="f">
            <v:textbox style="mso-next-textbox:#_x0000_s1039" inset="0,0,0,0">
              <w:txbxContent>
                <w:p w:rsidR="00E8756F" w:rsidRDefault="00E8756F" w:rsidP="00E8756F">
                  <w:pPr>
                    <w:rPr>
                      <w:b/>
                      <w:bCs/>
                      <w:sz w:val="32"/>
                      <w:szCs w:val="32"/>
                    </w:rPr>
                  </w:pPr>
                  <w:r>
                    <w:rPr>
                      <w:b/>
                      <w:bCs/>
                      <w:sz w:val="32"/>
                      <w:szCs w:val="32"/>
                    </w:rPr>
                    <w:t>R</w:t>
                  </w:r>
                </w:p>
              </w:txbxContent>
            </v:textbox>
          </v:rect>
        </w:pict>
      </w:r>
      <w:r w:rsidR="00E8756F">
        <w:rPr>
          <w:noProof/>
          <w:lang w:val="fr-FR" w:eastAsia="fr-FR"/>
        </w:rPr>
        <w:drawing>
          <wp:inline distT="0" distB="0" distL="0" distR="0">
            <wp:extent cx="4668520" cy="2964180"/>
            <wp:effectExtent l="57150" t="38100" r="36830" b="26670"/>
            <wp:docPr id="15" name="Image 6" descr="100_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00_5446"/>
                    <pic:cNvPicPr>
                      <a:picLocks noChangeAspect="1" noChangeArrowheads="1"/>
                    </pic:cNvPicPr>
                  </pic:nvPicPr>
                  <pic:blipFill>
                    <a:blip r:embed="rId13"/>
                    <a:srcRect/>
                    <a:stretch>
                      <a:fillRect/>
                    </a:stretch>
                  </pic:blipFill>
                  <pic:spPr bwMode="auto">
                    <a:xfrm>
                      <a:off x="0" y="0"/>
                      <a:ext cx="4660900" cy="2959342"/>
                    </a:xfrm>
                    <a:prstGeom prst="rect">
                      <a:avLst/>
                    </a:prstGeom>
                    <a:noFill/>
                    <a:ln w="38100" cmpd="thinThick">
                      <a:solidFill>
                        <a:srgbClr val="000000"/>
                      </a:solidFill>
                      <a:miter lim="800000"/>
                      <a:headEnd/>
                      <a:tailEnd/>
                    </a:ln>
                    <a:effectLst/>
                  </pic:spPr>
                </pic:pic>
              </a:graphicData>
            </a:graphic>
          </wp:inline>
        </w:drawing>
      </w:r>
    </w:p>
    <w:p w:rsidR="00E8756F" w:rsidRDefault="00E8756F" w:rsidP="00E8756F">
      <w:pPr>
        <w:tabs>
          <w:tab w:val="right" w:pos="3754"/>
        </w:tabs>
        <w:autoSpaceDE w:val="0"/>
        <w:autoSpaceDN w:val="0"/>
        <w:bidi w:val="0"/>
        <w:adjustRightInd w:val="0"/>
        <w:spacing w:line="360" w:lineRule="auto"/>
        <w:jc w:val="center"/>
        <w:rPr>
          <w:lang w:val="fr-FR"/>
        </w:rPr>
      </w:pPr>
      <w:r>
        <w:rPr>
          <w:b/>
          <w:bCs/>
          <w:lang w:val="fr-FR"/>
        </w:rPr>
        <w:t>Figure 9</w:t>
      </w:r>
      <w:r>
        <w:rPr>
          <w:lang w:val="fr-FR"/>
        </w:rPr>
        <w:t> : La rate dans sa position normale</w:t>
      </w:r>
      <w:r>
        <w:rPr>
          <w:bCs/>
          <w:color w:val="000000"/>
          <w:lang w:val="fr-FR"/>
        </w:rPr>
        <w:t xml:space="preserve"> (khenenou, 2012)</w:t>
      </w:r>
      <w:r>
        <w:rPr>
          <w:lang w:val="fr-FR"/>
        </w:rPr>
        <w:t>.</w:t>
      </w:r>
    </w:p>
    <w:p w:rsidR="00E8756F" w:rsidRDefault="00E8756F" w:rsidP="00E8756F">
      <w:pPr>
        <w:tabs>
          <w:tab w:val="right" w:pos="3754"/>
        </w:tabs>
        <w:autoSpaceDE w:val="0"/>
        <w:autoSpaceDN w:val="0"/>
        <w:bidi w:val="0"/>
        <w:adjustRightInd w:val="0"/>
        <w:spacing w:line="360" w:lineRule="auto"/>
        <w:jc w:val="center"/>
        <w:rPr>
          <w:sz w:val="20"/>
          <w:szCs w:val="20"/>
          <w:lang w:val="fr-FR"/>
        </w:rPr>
      </w:pPr>
      <w:r>
        <w:rPr>
          <w:sz w:val="20"/>
          <w:szCs w:val="20"/>
          <w:lang w:val="fr-FR"/>
        </w:rPr>
        <w:t xml:space="preserve">F: foie, D: duodénum, R: rate, C: cœur </w:t>
      </w:r>
    </w:p>
    <w:p w:rsidR="00E8756F" w:rsidRDefault="00E8756F" w:rsidP="00E8756F">
      <w:pPr>
        <w:tabs>
          <w:tab w:val="right" w:pos="3754"/>
        </w:tabs>
        <w:bidi w:val="0"/>
        <w:spacing w:line="360" w:lineRule="auto"/>
        <w:rPr>
          <w:lang w:val="fr-FR" w:eastAsia="en-US"/>
        </w:rPr>
      </w:pPr>
      <w:r>
        <w:rPr>
          <w:lang w:val="fr-FR" w:eastAsia="en-US"/>
        </w:rPr>
        <w:t>A l'examen au microscope, il est possible de visualiser deux zones de structure différente dans la rate (figure 11):</w:t>
      </w:r>
    </w:p>
    <w:p w:rsidR="0051509A" w:rsidRPr="0051509A" w:rsidRDefault="00E8756F" w:rsidP="0051509A">
      <w:pPr>
        <w:tabs>
          <w:tab w:val="right" w:pos="3754"/>
        </w:tabs>
        <w:autoSpaceDE w:val="0"/>
        <w:autoSpaceDN w:val="0"/>
        <w:adjustRightInd w:val="0"/>
        <w:spacing w:line="360" w:lineRule="auto"/>
        <w:jc w:val="right"/>
        <w:rPr>
          <w:lang w:val="fr-FR"/>
        </w:rPr>
      </w:pPr>
      <w:r>
        <w:rPr>
          <w:b/>
          <w:bCs/>
          <w:lang w:val="fr-FR" w:bidi="ar-DZ"/>
        </w:rPr>
        <w:t xml:space="preserve">.  La </w:t>
      </w:r>
      <w:r>
        <w:rPr>
          <w:b/>
          <w:bCs/>
          <w:lang w:val="fr-FR"/>
        </w:rPr>
        <w:t>pulpe</w:t>
      </w:r>
      <w:r>
        <w:rPr>
          <w:b/>
          <w:bCs/>
          <w:lang w:val="fr-FR" w:bidi="ar-DZ"/>
        </w:rPr>
        <w:t xml:space="preserve"> bla</w:t>
      </w:r>
      <w:r w:rsidRPr="0051509A">
        <w:rPr>
          <w:b/>
          <w:bCs/>
          <w:lang w:val="fr-FR" w:bidi="ar-DZ"/>
        </w:rPr>
        <w:t>nche</w:t>
      </w:r>
      <w:r w:rsidRPr="0051509A">
        <w:rPr>
          <w:lang w:val="fr-FR"/>
        </w:rPr>
        <w:t xml:space="preserve"> : </w:t>
      </w:r>
      <w:r w:rsidR="0051509A" w:rsidRPr="0051509A">
        <w:rPr>
          <w:lang w:val="fr-FR"/>
        </w:rPr>
        <w:t>L'examen macroscopique d'un plan de c</w:t>
      </w:r>
      <w:r w:rsidR="00A60BB5">
        <w:rPr>
          <w:lang w:val="fr-FR"/>
        </w:rPr>
        <w:t xml:space="preserve">oupe de la rate montre </w:t>
      </w:r>
      <w:r w:rsidR="0051509A">
        <w:rPr>
          <w:rFonts w:hint="cs"/>
          <w:rtl/>
          <w:lang w:val="fr-FR"/>
        </w:rPr>
        <w:t xml:space="preserve"> </w:t>
      </w:r>
      <w:r w:rsidR="0051509A" w:rsidRPr="0051509A">
        <w:rPr>
          <w:lang w:val="fr-FR"/>
        </w:rPr>
        <w:t xml:space="preserve">nodules blanchâtres, appelés </w:t>
      </w:r>
      <w:r w:rsidR="0051509A" w:rsidRPr="0051509A">
        <w:rPr>
          <w:u w:val="single"/>
          <w:lang w:val="fr-FR"/>
        </w:rPr>
        <w:t>pulpe blanche</w:t>
      </w:r>
      <w:r w:rsidR="0051509A" w:rsidRPr="0051509A">
        <w:rPr>
          <w:lang w:val="fr-FR"/>
        </w:rPr>
        <w:t>, entourés d'une matrice</w:t>
      </w:r>
    </w:p>
    <w:p w:rsidR="00E8756F" w:rsidRPr="0051509A" w:rsidRDefault="0051509A" w:rsidP="0051509A">
      <w:pPr>
        <w:tabs>
          <w:tab w:val="right" w:pos="3754"/>
        </w:tabs>
        <w:autoSpaceDE w:val="0"/>
        <w:autoSpaceDN w:val="0"/>
        <w:bidi w:val="0"/>
        <w:adjustRightInd w:val="0"/>
        <w:spacing w:line="360" w:lineRule="auto"/>
        <w:jc w:val="both"/>
        <w:rPr>
          <w:lang w:val="fr-FR"/>
        </w:rPr>
      </w:pPr>
      <w:proofErr w:type="gramStart"/>
      <w:r w:rsidRPr="0051509A">
        <w:rPr>
          <w:lang w:val="fr-FR"/>
        </w:rPr>
        <w:t>rouge</w:t>
      </w:r>
      <w:proofErr w:type="gramEnd"/>
      <w:r w:rsidRPr="0051509A">
        <w:rPr>
          <w:lang w:val="fr-FR"/>
        </w:rPr>
        <w:t xml:space="preserve">, </w:t>
      </w:r>
      <w:r w:rsidRPr="0051509A">
        <w:rPr>
          <w:u w:val="single"/>
          <w:lang w:val="fr-FR"/>
        </w:rPr>
        <w:t>la pulpe rouge</w:t>
      </w:r>
      <w:r w:rsidRPr="0051509A">
        <w:rPr>
          <w:lang w:val="fr-FR"/>
        </w:rPr>
        <w:t xml:space="preserve">. </w:t>
      </w:r>
      <w:r>
        <w:rPr>
          <w:rFonts w:hint="cs"/>
          <w:rtl/>
          <w:lang w:val="fr-FR"/>
        </w:rPr>
        <w:t xml:space="preserve"> </w:t>
      </w:r>
      <w:r w:rsidRPr="0051509A">
        <w:rPr>
          <w:lang w:val="fr-FR"/>
        </w:rPr>
        <w:t>Histologiquement, la pulpe blanche est constituée d'agrégats lymphocytaires</w:t>
      </w:r>
    </w:p>
    <w:p w:rsidR="00E8756F" w:rsidRPr="0051509A" w:rsidRDefault="00E8756F" w:rsidP="00E8756F">
      <w:pPr>
        <w:tabs>
          <w:tab w:val="left" w:pos="-180"/>
          <w:tab w:val="right" w:pos="3754"/>
        </w:tabs>
        <w:spacing w:line="360" w:lineRule="auto"/>
        <w:ind w:left="-180"/>
        <w:jc w:val="right"/>
        <w:rPr>
          <w:color w:val="FF0000"/>
          <w:lang w:val="fr-FR" w:eastAsia="en-US" w:bidi="ar-DZ"/>
        </w:rPr>
      </w:pPr>
    </w:p>
    <w:p w:rsidR="00E8756F" w:rsidRDefault="00E8756F" w:rsidP="00E8756F">
      <w:pPr>
        <w:tabs>
          <w:tab w:val="left" w:pos="-180"/>
          <w:tab w:val="right" w:pos="3754"/>
        </w:tabs>
        <w:spacing w:line="360" w:lineRule="auto"/>
        <w:ind w:left="-180"/>
        <w:jc w:val="right"/>
        <w:rPr>
          <w:rtl/>
          <w:lang w:val="fr-FR" w:eastAsia="en-US"/>
        </w:rPr>
      </w:pPr>
    </w:p>
    <w:p w:rsidR="00E8756F" w:rsidRDefault="00B13D16" w:rsidP="00E8756F">
      <w:pPr>
        <w:tabs>
          <w:tab w:val="left" w:pos="-180"/>
          <w:tab w:val="right" w:pos="3754"/>
        </w:tabs>
        <w:spacing w:line="360" w:lineRule="auto"/>
        <w:ind w:left="-180"/>
        <w:jc w:val="center"/>
        <w:rPr>
          <w:b/>
          <w:bCs/>
          <w:lang w:val="fr-FR" w:bidi="ar-DZ"/>
        </w:rPr>
      </w:pPr>
      <w:r w:rsidRPr="00B13D16">
        <w:lastRenderedPageBreak/>
        <w:pict>
          <v:rect id="_x0000_s1042" style="position:absolute;left:0;text-align:left;margin-left:179.25pt;margin-top:150.35pt;width:24pt;height:22.6pt;z-index:251677696" filled="f" stroked="f">
            <v:textbox style="mso-next-textbox:#_x0000_s1042" inset="0,0,0,0">
              <w:txbxContent>
                <w:p w:rsidR="00E8756F" w:rsidRDefault="00E8756F" w:rsidP="00E8756F">
                  <w:pPr>
                    <w:rPr>
                      <w:b/>
                      <w:bCs/>
                      <w:sz w:val="36"/>
                      <w:szCs w:val="36"/>
                      <w:lang w:val="fr-FR"/>
                    </w:rPr>
                  </w:pPr>
                  <w:r>
                    <w:rPr>
                      <w:b/>
                      <w:bCs/>
                      <w:sz w:val="36"/>
                      <w:szCs w:val="36"/>
                      <w:lang w:val="fr-FR"/>
                    </w:rPr>
                    <w:t>S</w:t>
                  </w:r>
                </w:p>
              </w:txbxContent>
            </v:textbox>
          </v:rect>
        </w:pict>
      </w:r>
      <w:r w:rsidRPr="00B13D16">
        <w:pict>
          <v:rect id="_x0000_s1040" style="position:absolute;left:0;text-align:left;margin-left:171.75pt;margin-top:103.1pt;width:24pt;height:22.6pt;z-index:251675648" filled="f" stroked="f">
            <v:textbox style="mso-next-textbox:#_x0000_s1040" inset="0,0,0,0">
              <w:txbxContent>
                <w:p w:rsidR="00E8756F" w:rsidRDefault="00E8756F" w:rsidP="00E8756F">
                  <w:pPr>
                    <w:rPr>
                      <w:sz w:val="36"/>
                      <w:szCs w:val="36"/>
                      <w:lang w:val="fr-FR"/>
                    </w:rPr>
                  </w:pPr>
                  <w:r>
                    <w:rPr>
                      <w:sz w:val="36"/>
                      <w:szCs w:val="36"/>
                      <w:lang w:val="fr-FR"/>
                    </w:rPr>
                    <w:t>PR</w:t>
                  </w:r>
                </w:p>
              </w:txbxContent>
            </v:textbox>
          </v:rect>
        </w:pict>
      </w:r>
      <w:r w:rsidRPr="00B13D16">
        <w:pict>
          <v:rect id="_x0000_s1041" style="position:absolute;left:0;text-align:left;margin-left:256.5pt;margin-top:115.1pt;width:24pt;height:22.6pt;z-index:251676672" filled="f" stroked="f">
            <v:textbox style="mso-next-textbox:#_x0000_s1041" inset="0,0,0,0">
              <w:txbxContent>
                <w:p w:rsidR="00E8756F" w:rsidRDefault="00E8756F" w:rsidP="00E8756F">
                  <w:pPr>
                    <w:rPr>
                      <w:b/>
                      <w:bCs/>
                      <w:sz w:val="36"/>
                      <w:szCs w:val="36"/>
                      <w:lang w:val="fr-FR"/>
                    </w:rPr>
                  </w:pPr>
                  <w:r>
                    <w:rPr>
                      <w:b/>
                      <w:bCs/>
                      <w:sz w:val="36"/>
                      <w:szCs w:val="36"/>
                      <w:lang w:val="fr-FR"/>
                    </w:rPr>
                    <w:t>PB</w:t>
                  </w:r>
                </w:p>
              </w:txbxContent>
            </v:textbox>
          </v:rect>
        </w:pict>
      </w:r>
      <w:r w:rsidR="00E8756F">
        <w:rPr>
          <w:b/>
          <w:bCs/>
          <w:noProof/>
          <w:lang w:val="fr-FR" w:eastAsia="fr-FR"/>
        </w:rPr>
        <w:drawing>
          <wp:inline distT="0" distB="0" distL="0" distR="0">
            <wp:extent cx="4858385" cy="3541395"/>
            <wp:effectExtent l="57150" t="38100" r="37465" b="20955"/>
            <wp:docPr id="17" name="Image 11"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2"/>
                    <pic:cNvPicPr>
                      <a:picLocks noChangeAspect="1" noChangeArrowheads="1"/>
                    </pic:cNvPicPr>
                  </pic:nvPicPr>
                  <pic:blipFill>
                    <a:blip r:embed="rId14">
                      <a:lum contrast="40000"/>
                    </a:blip>
                    <a:srcRect t="6927" r="5203" b="11446"/>
                    <a:stretch>
                      <a:fillRect/>
                    </a:stretch>
                  </pic:blipFill>
                  <pic:spPr bwMode="auto">
                    <a:xfrm>
                      <a:off x="0" y="0"/>
                      <a:ext cx="4858385" cy="3541395"/>
                    </a:xfrm>
                    <a:prstGeom prst="rect">
                      <a:avLst/>
                    </a:prstGeom>
                    <a:noFill/>
                    <a:ln w="38100" cmpd="thinThick">
                      <a:solidFill>
                        <a:srgbClr val="000000"/>
                      </a:solidFill>
                      <a:miter lim="800000"/>
                      <a:headEnd/>
                      <a:tailEnd/>
                    </a:ln>
                    <a:effectLst/>
                  </pic:spPr>
                </pic:pic>
              </a:graphicData>
            </a:graphic>
          </wp:inline>
        </w:drawing>
      </w:r>
    </w:p>
    <w:p w:rsidR="00E8756F" w:rsidRDefault="00E8756F" w:rsidP="00E8756F">
      <w:pPr>
        <w:tabs>
          <w:tab w:val="right" w:pos="3754"/>
        </w:tabs>
        <w:autoSpaceDE w:val="0"/>
        <w:autoSpaceDN w:val="0"/>
        <w:bidi w:val="0"/>
        <w:adjustRightInd w:val="0"/>
        <w:spacing w:line="360" w:lineRule="auto"/>
        <w:jc w:val="center"/>
        <w:rPr>
          <w:rtl/>
          <w:lang w:val="fr-FR" w:eastAsia="fr-FR"/>
        </w:rPr>
      </w:pPr>
      <w:r>
        <w:rPr>
          <w:b/>
          <w:bCs/>
          <w:lang w:val="fr-FR" w:eastAsia="en-US"/>
        </w:rPr>
        <w:t xml:space="preserve">Figure 11: </w:t>
      </w:r>
      <w:r>
        <w:rPr>
          <w:lang w:val="fr-FR" w:eastAsia="en-US"/>
        </w:rPr>
        <w:t>Structure histologique de la rate (H &amp; E x 400)</w:t>
      </w:r>
      <w:r>
        <w:rPr>
          <w:lang w:val="fr-FR" w:eastAsia="fr-FR"/>
        </w:rPr>
        <w:t xml:space="preserve"> (Khenenou, 2008).</w:t>
      </w:r>
    </w:p>
    <w:p w:rsidR="00E8756F" w:rsidRDefault="00E8756F" w:rsidP="00E8756F">
      <w:pPr>
        <w:tabs>
          <w:tab w:val="right" w:pos="3754"/>
        </w:tabs>
        <w:autoSpaceDE w:val="0"/>
        <w:autoSpaceDN w:val="0"/>
        <w:bidi w:val="0"/>
        <w:adjustRightInd w:val="0"/>
        <w:spacing w:line="360" w:lineRule="auto"/>
        <w:jc w:val="center"/>
        <w:rPr>
          <w:lang w:val="fr-FR"/>
        </w:rPr>
      </w:pPr>
      <w:r>
        <w:rPr>
          <w:sz w:val="20"/>
          <w:szCs w:val="20"/>
          <w:lang w:val="fr-FR" w:eastAsia="en-US"/>
        </w:rPr>
        <w:t>PB</w:t>
      </w:r>
      <w:r>
        <w:rPr>
          <w:b/>
          <w:bCs/>
          <w:sz w:val="20"/>
          <w:szCs w:val="20"/>
          <w:lang w:val="fr-FR" w:eastAsia="fr-FR"/>
        </w:rPr>
        <w:t xml:space="preserve">: </w:t>
      </w:r>
      <w:r>
        <w:rPr>
          <w:sz w:val="20"/>
          <w:szCs w:val="20"/>
          <w:lang w:val="fr-FR" w:eastAsia="fr-FR"/>
        </w:rPr>
        <w:t>pulpe blanche</w:t>
      </w:r>
      <w:r>
        <w:rPr>
          <w:b/>
          <w:bCs/>
          <w:sz w:val="20"/>
          <w:szCs w:val="20"/>
          <w:lang w:val="fr-FR" w:eastAsia="fr-FR"/>
        </w:rPr>
        <w:t xml:space="preserve">; </w:t>
      </w:r>
      <w:r>
        <w:rPr>
          <w:sz w:val="20"/>
          <w:szCs w:val="20"/>
          <w:lang w:val="fr-FR" w:eastAsia="fr-FR"/>
        </w:rPr>
        <w:t xml:space="preserve">PR : pulpe rouge ; S : Sinusoïde  </w:t>
      </w:r>
    </w:p>
    <w:p w:rsidR="00E8756F" w:rsidRDefault="00E8756F" w:rsidP="00E8756F">
      <w:pPr>
        <w:tabs>
          <w:tab w:val="right" w:pos="3754"/>
          <w:tab w:val="left" w:pos="5940"/>
          <w:tab w:val="right" w:pos="8640"/>
        </w:tabs>
        <w:bidi w:val="0"/>
        <w:rPr>
          <w:b/>
          <w:bCs/>
          <w:lang w:val="fr-FR" w:bidi="ar-DZ"/>
        </w:rPr>
      </w:pPr>
      <w:r>
        <w:rPr>
          <w:b/>
          <w:bCs/>
          <w:lang w:val="fr-FR" w:bidi="ar-DZ"/>
        </w:rPr>
        <w:t>. La pulpe rouge:</w:t>
      </w:r>
    </w:p>
    <w:p w:rsidR="00E8756F" w:rsidRDefault="00E8756F" w:rsidP="00E8756F">
      <w:pPr>
        <w:tabs>
          <w:tab w:val="right" w:pos="3754"/>
          <w:tab w:val="left" w:pos="5940"/>
          <w:tab w:val="right" w:pos="8640"/>
        </w:tabs>
        <w:jc w:val="right"/>
        <w:rPr>
          <w:b/>
          <w:bCs/>
          <w:lang w:val="fr-FR" w:bidi="ar-DZ"/>
        </w:rPr>
      </w:pPr>
    </w:p>
    <w:p w:rsidR="00E8756F" w:rsidRDefault="00E8756F" w:rsidP="00E8756F">
      <w:pPr>
        <w:tabs>
          <w:tab w:val="right" w:pos="3754"/>
        </w:tabs>
        <w:autoSpaceDE w:val="0"/>
        <w:autoSpaceDN w:val="0"/>
        <w:bidi w:val="0"/>
        <w:adjustRightInd w:val="0"/>
        <w:spacing w:line="360" w:lineRule="auto"/>
        <w:jc w:val="lowKashida"/>
        <w:rPr>
          <w:rFonts w:ascii="Times-Roman" w:hAnsi="Times-Roman" w:cs="Times-Roman"/>
          <w:lang w:val="fr-FR"/>
        </w:rPr>
      </w:pPr>
      <w:r>
        <w:rPr>
          <w:rFonts w:ascii="Times-Roman" w:hAnsi="Times-Roman" w:cs="Times-Roman"/>
          <w:lang w:val="fr-FR"/>
        </w:rPr>
        <w:t>La pulpe rouge est un site de destruction des hématies sénescentes et un réservoir d’hématies susceptibles d’être injectées dans la circulation sanguine par contraction de la rate (</w:t>
      </w:r>
      <w:proofErr w:type="spellStart"/>
      <w:r>
        <w:rPr>
          <w:rFonts w:ascii="Times-Roman" w:hAnsi="Times-Roman" w:cs="Times-Roman"/>
          <w:lang w:val="fr-FR"/>
        </w:rPr>
        <w:t>Revillard</w:t>
      </w:r>
      <w:proofErr w:type="spellEnd"/>
      <w:r>
        <w:rPr>
          <w:rFonts w:ascii="Times-Roman" w:hAnsi="Times-Roman" w:cs="Times-Roman"/>
          <w:lang w:val="fr-FR"/>
        </w:rPr>
        <w:t xml:space="preserve">, 1995).Elle  est formée par les capillaires sinusoïdes et les cellules libres situées entre eux (cordons de </w:t>
      </w:r>
      <w:proofErr w:type="spellStart"/>
      <w:r>
        <w:rPr>
          <w:rFonts w:ascii="Times-Roman" w:hAnsi="Times-Roman" w:cs="Times-Roman"/>
          <w:lang w:val="fr-FR"/>
        </w:rPr>
        <w:t>Billroth</w:t>
      </w:r>
      <w:proofErr w:type="spellEnd"/>
      <w:r>
        <w:rPr>
          <w:rFonts w:ascii="Times-Roman" w:hAnsi="Times-Roman" w:cs="Times-Roman"/>
          <w:lang w:val="fr-FR"/>
        </w:rPr>
        <w:t xml:space="preserve">). Elle est riche en éléments du sang circulant. Elle contient également les plasmocytes de la rate (Poirier et </w:t>
      </w:r>
      <w:r>
        <w:rPr>
          <w:rFonts w:ascii="Times-Roman" w:hAnsi="Times-Roman" w:cs="Times-Roman"/>
          <w:i/>
          <w:iCs/>
          <w:lang w:val="fr-FR"/>
        </w:rPr>
        <w:t>al</w:t>
      </w:r>
      <w:r>
        <w:rPr>
          <w:rFonts w:ascii="Times-Roman" w:hAnsi="Times-Roman" w:cs="Times-Roman"/>
          <w:lang w:val="fr-FR"/>
        </w:rPr>
        <w:t>, 1993</w:t>
      </w:r>
      <w:r>
        <w:rPr>
          <w:color w:val="FF0000"/>
          <w:lang w:val="fr-FR" w:bidi="ar-DZ"/>
        </w:rPr>
        <w:t xml:space="preserve"> </w:t>
      </w:r>
      <w:r>
        <w:rPr>
          <w:lang w:val="fr-FR" w:bidi="ar-DZ"/>
        </w:rPr>
        <w:t xml:space="preserve">; </w:t>
      </w:r>
      <w:proofErr w:type="spellStart"/>
      <w:r>
        <w:rPr>
          <w:lang w:val="fr-FR" w:eastAsia="en-US" w:bidi="ar-DZ"/>
        </w:rPr>
        <w:t>Morice</w:t>
      </w:r>
      <w:proofErr w:type="spellEnd"/>
      <w:r>
        <w:rPr>
          <w:lang w:val="fr-FR" w:eastAsia="en-US" w:bidi="ar-DZ"/>
        </w:rPr>
        <w:t>, 2003</w:t>
      </w:r>
      <w:r>
        <w:rPr>
          <w:rFonts w:ascii="Times-Roman" w:hAnsi="Times-Roman" w:cs="Times-Roman"/>
          <w:lang w:val="fr-FR"/>
        </w:rPr>
        <w:t>).</w:t>
      </w:r>
    </w:p>
    <w:p w:rsidR="00E8756F" w:rsidRDefault="00E8756F" w:rsidP="00E8756F">
      <w:pPr>
        <w:tabs>
          <w:tab w:val="right" w:pos="3754"/>
          <w:tab w:val="left" w:pos="5940"/>
          <w:tab w:val="right" w:pos="8640"/>
        </w:tabs>
        <w:jc w:val="right"/>
        <w:rPr>
          <w:b/>
          <w:bCs/>
          <w:lang w:val="fr-FR" w:bidi="ar-DZ"/>
        </w:rPr>
      </w:pPr>
      <w:r>
        <w:rPr>
          <w:b/>
          <w:bCs/>
          <w:lang w:val="fr-FR" w:bidi="ar-DZ"/>
        </w:rPr>
        <w:t xml:space="preserve"> </w:t>
      </w:r>
    </w:p>
    <w:p w:rsidR="00E8756F" w:rsidRDefault="00E8756F" w:rsidP="00E8756F">
      <w:pPr>
        <w:tabs>
          <w:tab w:val="right" w:pos="3754"/>
        </w:tabs>
        <w:jc w:val="right"/>
        <w:rPr>
          <w:b/>
          <w:bCs/>
          <w:lang w:val="fr-FR"/>
        </w:rPr>
      </w:pPr>
      <w:r>
        <w:rPr>
          <w:b/>
          <w:bCs/>
          <w:lang w:val="fr-FR" w:bidi="ar-DZ"/>
        </w:rPr>
        <w:t>I.2.1.2.  R</w:t>
      </w:r>
      <w:r>
        <w:rPr>
          <w:b/>
          <w:bCs/>
          <w:lang w:val="fr-FR"/>
        </w:rPr>
        <w:t xml:space="preserve">ôle de rate: </w:t>
      </w:r>
    </w:p>
    <w:p w:rsidR="00E8756F" w:rsidRDefault="00E8756F" w:rsidP="00E8756F">
      <w:pPr>
        <w:tabs>
          <w:tab w:val="right" w:pos="3754"/>
        </w:tabs>
        <w:jc w:val="right"/>
        <w:rPr>
          <w:b/>
          <w:bCs/>
          <w:lang w:val="fr-FR"/>
        </w:rPr>
      </w:pPr>
    </w:p>
    <w:p w:rsidR="00E8756F" w:rsidRDefault="00E8756F" w:rsidP="00E8756F">
      <w:pPr>
        <w:numPr>
          <w:ilvl w:val="0"/>
          <w:numId w:val="4"/>
        </w:numPr>
        <w:tabs>
          <w:tab w:val="right" w:pos="3754"/>
        </w:tabs>
        <w:autoSpaceDE w:val="0"/>
        <w:autoSpaceDN w:val="0"/>
        <w:bidi w:val="0"/>
        <w:adjustRightInd w:val="0"/>
        <w:spacing w:line="360" w:lineRule="auto"/>
        <w:jc w:val="lowKashida"/>
        <w:rPr>
          <w:rFonts w:ascii="Times-Roman" w:hAnsi="Times-Roman" w:cs="Times-Roman"/>
          <w:lang w:val="fr-FR"/>
        </w:rPr>
      </w:pPr>
      <w:r>
        <w:rPr>
          <w:rFonts w:ascii="Times-Roman" w:hAnsi="Times-Roman" w:cs="Times-Roman"/>
          <w:b/>
          <w:bCs/>
          <w:lang w:val="fr-FR"/>
        </w:rPr>
        <w:t>Fonctions immunologiques</w:t>
      </w:r>
      <w:r>
        <w:rPr>
          <w:rFonts w:ascii="Times-Roman" w:hAnsi="Times-Roman" w:cs="Times-Roman"/>
          <w:lang w:val="fr-FR"/>
        </w:rPr>
        <w:t>:</w:t>
      </w:r>
    </w:p>
    <w:p w:rsidR="00E8756F" w:rsidRDefault="00E8756F" w:rsidP="00E8756F">
      <w:pPr>
        <w:tabs>
          <w:tab w:val="right" w:pos="3754"/>
        </w:tabs>
        <w:autoSpaceDE w:val="0"/>
        <w:autoSpaceDN w:val="0"/>
        <w:bidi w:val="0"/>
        <w:adjustRightInd w:val="0"/>
        <w:spacing w:line="360" w:lineRule="auto"/>
        <w:jc w:val="lowKashida"/>
        <w:rPr>
          <w:rFonts w:ascii="Times-Roman" w:hAnsi="Times-Roman" w:cs="Times-Roman"/>
          <w:lang w:val="fr-FR"/>
        </w:rPr>
      </w:pPr>
      <w:r>
        <w:rPr>
          <w:rFonts w:ascii="Times-Roman" w:hAnsi="Times-Roman" w:cs="Times-Roman"/>
          <w:lang w:val="fr-FR"/>
        </w:rPr>
        <w:t xml:space="preserve">La rate joue un rôle de </w:t>
      </w:r>
      <w:r w:rsidRPr="00717359">
        <w:rPr>
          <w:rFonts w:ascii="Times-Roman" w:hAnsi="Times-Roman" w:cs="Times-Roman"/>
          <w:color w:val="FF0000"/>
          <w:lang w:val="fr-FR"/>
        </w:rPr>
        <w:t>filtre, éliminant par ses macrophages les microorganismes et les antigènes de la circulation sanguine</w:t>
      </w:r>
      <w:r>
        <w:rPr>
          <w:rFonts w:ascii="Times-Roman" w:hAnsi="Times-Roman" w:cs="Times-Roman"/>
          <w:lang w:val="fr-FR"/>
        </w:rPr>
        <w:t>. Elle filtre également les érythrocytes vieillissants ou anormaux. Ce rôle de filtre est permis par le vaste réseau de fibres réticulées constellées de cellules réticulées et de macrophages. La zone marginale est la zone de filtration la plus importante (</w:t>
      </w:r>
      <w:proofErr w:type="spellStart"/>
      <w:r>
        <w:rPr>
          <w:lang w:val="fr-FR"/>
        </w:rPr>
        <w:t>Jeurissen</w:t>
      </w:r>
      <w:proofErr w:type="spellEnd"/>
      <w:r>
        <w:rPr>
          <w:lang w:val="fr-FR"/>
        </w:rPr>
        <w:t>, 1991</w:t>
      </w:r>
      <w:r>
        <w:rPr>
          <w:lang w:val="fr-FR" w:eastAsia="fr-FR"/>
        </w:rPr>
        <w:t xml:space="preserve">; </w:t>
      </w:r>
      <w:proofErr w:type="spellStart"/>
      <w:r>
        <w:rPr>
          <w:rFonts w:ascii="Times-Roman" w:hAnsi="Times-Roman" w:cs="Times-Roman"/>
          <w:lang w:val="fr-FR"/>
        </w:rPr>
        <w:t>Dellmann</w:t>
      </w:r>
      <w:proofErr w:type="spellEnd"/>
      <w:r>
        <w:rPr>
          <w:rFonts w:ascii="Times-Roman" w:hAnsi="Times-Roman" w:cs="Times-Roman"/>
          <w:lang w:val="fr-FR"/>
        </w:rPr>
        <w:t xml:space="preserve"> </w:t>
      </w:r>
      <w:r>
        <w:rPr>
          <w:rFonts w:ascii="Times-Roman" w:hAnsi="Times-Roman" w:cs="Times-Roman"/>
          <w:i/>
          <w:iCs/>
          <w:lang w:val="fr-FR"/>
        </w:rPr>
        <w:t>et al,</w:t>
      </w:r>
      <w:r>
        <w:rPr>
          <w:rFonts w:ascii="Times-Roman" w:hAnsi="Times-Roman" w:cs="Times-Roman"/>
          <w:lang w:val="fr-FR"/>
        </w:rPr>
        <w:t xml:space="preserve"> 1998).</w:t>
      </w:r>
    </w:p>
    <w:p w:rsidR="00E8756F" w:rsidRDefault="00E8756F" w:rsidP="00E8756F">
      <w:pPr>
        <w:tabs>
          <w:tab w:val="right" w:pos="3754"/>
        </w:tabs>
        <w:autoSpaceDE w:val="0"/>
        <w:autoSpaceDN w:val="0"/>
        <w:bidi w:val="0"/>
        <w:adjustRightInd w:val="0"/>
        <w:spacing w:line="360" w:lineRule="auto"/>
        <w:jc w:val="lowKashida"/>
        <w:rPr>
          <w:rFonts w:ascii="Times-Roman" w:hAnsi="Times-Roman" w:cs="Times-Roman"/>
          <w:lang w:val="fr-FR"/>
        </w:rPr>
      </w:pPr>
      <w:r>
        <w:rPr>
          <w:rFonts w:ascii="Times-Roman" w:hAnsi="Times-Roman" w:cs="Times-Roman"/>
          <w:lang w:val="fr-FR"/>
        </w:rPr>
        <w:t xml:space="preserve">La rate constitue en outre un site de développement de la réponse anticorps, particulièrement vis-à-vis des antigènes polysaccharidiques (bactéries) pénétrant par </w:t>
      </w:r>
      <w:r>
        <w:rPr>
          <w:rFonts w:ascii="Times-Roman" w:hAnsi="Times-Roman" w:cs="Times-Roman"/>
          <w:lang w:val="fr-FR"/>
        </w:rPr>
        <w:lastRenderedPageBreak/>
        <w:t>voie sanguine et fixés à la surface des cellules dendritiques folliculaires de la zone périphérique (</w:t>
      </w:r>
      <w:proofErr w:type="spellStart"/>
      <w:r>
        <w:rPr>
          <w:rFonts w:ascii="Times-Roman" w:hAnsi="Times-Roman" w:cs="Times-Roman"/>
          <w:lang w:val="fr-FR"/>
        </w:rPr>
        <w:t>Revillard</w:t>
      </w:r>
      <w:proofErr w:type="spellEnd"/>
      <w:r>
        <w:rPr>
          <w:rFonts w:ascii="Times-Roman" w:hAnsi="Times-Roman" w:cs="Times-Roman"/>
          <w:lang w:val="fr-FR"/>
        </w:rPr>
        <w:t>, 1995).</w:t>
      </w:r>
    </w:p>
    <w:p w:rsidR="00E8756F" w:rsidRDefault="00E8756F" w:rsidP="00E8756F">
      <w:pPr>
        <w:tabs>
          <w:tab w:val="right" w:pos="3754"/>
        </w:tabs>
        <w:autoSpaceDE w:val="0"/>
        <w:autoSpaceDN w:val="0"/>
        <w:bidi w:val="0"/>
        <w:adjustRightInd w:val="0"/>
        <w:spacing w:line="360" w:lineRule="auto"/>
        <w:jc w:val="lowKashida"/>
        <w:rPr>
          <w:rFonts w:ascii="Times-Roman" w:hAnsi="Times-Roman" w:cs="Times-Roman"/>
          <w:lang w:val="fr-FR"/>
        </w:rPr>
      </w:pPr>
    </w:p>
    <w:p w:rsidR="00E8756F" w:rsidRDefault="00E8756F" w:rsidP="00E8756F">
      <w:pPr>
        <w:numPr>
          <w:ilvl w:val="0"/>
          <w:numId w:val="4"/>
        </w:numPr>
        <w:tabs>
          <w:tab w:val="right" w:pos="3754"/>
        </w:tabs>
        <w:autoSpaceDE w:val="0"/>
        <w:autoSpaceDN w:val="0"/>
        <w:bidi w:val="0"/>
        <w:adjustRightInd w:val="0"/>
        <w:spacing w:line="360" w:lineRule="auto"/>
        <w:jc w:val="lowKashida"/>
        <w:rPr>
          <w:rFonts w:ascii="Times-Roman" w:hAnsi="Times-Roman" w:cs="Times-Roman"/>
          <w:lang w:val="fr-FR"/>
        </w:rPr>
      </w:pPr>
      <w:r>
        <w:rPr>
          <w:rFonts w:ascii="Times-Roman" w:hAnsi="Times-Roman" w:cs="Times-Roman"/>
          <w:b/>
          <w:bCs/>
          <w:lang w:val="fr-FR"/>
        </w:rPr>
        <w:t>Fonctions non immunologiques</w:t>
      </w:r>
      <w:r>
        <w:rPr>
          <w:rFonts w:ascii="Times-Roman" w:hAnsi="Times-Roman" w:cs="Times-Roman"/>
          <w:lang w:val="fr-FR"/>
        </w:rPr>
        <w:t>:</w:t>
      </w:r>
    </w:p>
    <w:p w:rsidR="00E8756F" w:rsidRDefault="00E8756F" w:rsidP="00E8756F">
      <w:pPr>
        <w:tabs>
          <w:tab w:val="right" w:pos="3754"/>
        </w:tabs>
        <w:autoSpaceDE w:val="0"/>
        <w:autoSpaceDN w:val="0"/>
        <w:bidi w:val="0"/>
        <w:adjustRightInd w:val="0"/>
        <w:spacing w:line="360" w:lineRule="auto"/>
        <w:jc w:val="lowKashida"/>
        <w:rPr>
          <w:rFonts w:ascii="Times-Roman" w:hAnsi="Times-Roman" w:cs="Times-Roman"/>
          <w:lang w:val="fr-FR"/>
        </w:rPr>
      </w:pPr>
      <w:r w:rsidRPr="006864A9">
        <w:rPr>
          <w:rFonts w:ascii="Times-Roman" w:hAnsi="Times-Roman" w:cs="Times-Roman"/>
          <w:lang w:val="fr-FR"/>
        </w:rPr>
        <w:t xml:space="preserve">La rate constitue également un </w:t>
      </w:r>
      <w:r w:rsidRPr="00717359">
        <w:rPr>
          <w:rFonts w:ascii="Times-Roman" w:hAnsi="Times-Roman" w:cs="Times-Roman"/>
          <w:color w:val="FF0000"/>
          <w:lang w:val="fr-FR"/>
        </w:rPr>
        <w:t>site de stockage des érythrocytes et des plaquettes,</w:t>
      </w:r>
      <w:r w:rsidRPr="006864A9">
        <w:rPr>
          <w:rFonts w:ascii="Times-Roman" w:hAnsi="Times-Roman" w:cs="Times-Roman"/>
          <w:lang w:val="fr-FR"/>
        </w:rPr>
        <w:t xml:space="preserve"> qu’elle peut libérer dans la circulation en cas de besoin. Elle est capable de séquestrer </w:t>
      </w:r>
      <w:r>
        <w:rPr>
          <w:rFonts w:ascii="Times-Roman" w:hAnsi="Times-Roman" w:cs="Times-Roman"/>
          <w:lang w:val="fr-FR"/>
        </w:rPr>
        <w:t xml:space="preserve">et de reléguer jusqu’à 16% de la circulation sanguine totale, afin de soutenir la circulation générale. Ceci est possible par contraction des muscles lisses de la capsule et des </w:t>
      </w:r>
      <w:proofErr w:type="spellStart"/>
      <w:r>
        <w:rPr>
          <w:rFonts w:ascii="Times-Roman" w:hAnsi="Times-Roman" w:cs="Times-Roman"/>
          <w:lang w:val="fr-FR"/>
        </w:rPr>
        <w:t>trabécules</w:t>
      </w:r>
      <w:proofErr w:type="spellEnd"/>
      <w:r>
        <w:rPr>
          <w:rFonts w:ascii="Times-Roman" w:hAnsi="Times-Roman" w:cs="Times-Roman"/>
          <w:lang w:val="fr-FR"/>
        </w:rPr>
        <w:t xml:space="preserve"> spléniques. La rate est également un siège d’hématopoïèse </w:t>
      </w:r>
      <w:proofErr w:type="spellStart"/>
      <w:r>
        <w:rPr>
          <w:rFonts w:ascii="Times-Roman" w:hAnsi="Times-Roman" w:cs="Times-Roman"/>
          <w:lang w:val="fr-FR"/>
        </w:rPr>
        <w:t>extramédullaire</w:t>
      </w:r>
      <w:proofErr w:type="spellEnd"/>
      <w:r>
        <w:rPr>
          <w:rFonts w:ascii="Times-Roman" w:hAnsi="Times-Roman" w:cs="Times-Roman"/>
          <w:lang w:val="fr-FR"/>
        </w:rPr>
        <w:t xml:space="preserve"> (</w:t>
      </w:r>
      <w:proofErr w:type="spellStart"/>
      <w:r>
        <w:rPr>
          <w:rFonts w:ascii="Times-Roman" w:hAnsi="Times-Roman" w:cs="Times-Roman"/>
          <w:lang w:val="fr-FR"/>
        </w:rPr>
        <w:t>Heinen</w:t>
      </w:r>
      <w:proofErr w:type="spellEnd"/>
      <w:r>
        <w:rPr>
          <w:rFonts w:ascii="Times-Roman" w:hAnsi="Times-Roman" w:cs="Times-Roman"/>
          <w:lang w:val="fr-FR"/>
        </w:rPr>
        <w:t>, 1990).</w:t>
      </w:r>
    </w:p>
    <w:p w:rsidR="00E8756F" w:rsidRDefault="00E8756F" w:rsidP="00E8756F">
      <w:pPr>
        <w:tabs>
          <w:tab w:val="right" w:pos="3754"/>
        </w:tabs>
        <w:autoSpaceDE w:val="0"/>
        <w:autoSpaceDN w:val="0"/>
        <w:bidi w:val="0"/>
        <w:adjustRightInd w:val="0"/>
        <w:spacing w:line="360" w:lineRule="auto"/>
        <w:jc w:val="both"/>
        <w:rPr>
          <w:rtl/>
          <w:lang w:val="fr-FR" w:eastAsia="fr-FR"/>
        </w:rPr>
      </w:pPr>
    </w:p>
    <w:p w:rsidR="00E8756F" w:rsidRPr="00091616" w:rsidRDefault="00E8756F" w:rsidP="00E8756F">
      <w:pPr>
        <w:jc w:val="right"/>
        <w:rPr>
          <w:lang w:val="fr-FR"/>
        </w:rPr>
      </w:pPr>
    </w:p>
    <w:p w:rsidR="00E8756F" w:rsidRDefault="00E8756F" w:rsidP="00E8756F">
      <w:pPr>
        <w:tabs>
          <w:tab w:val="right" w:pos="3754"/>
        </w:tabs>
        <w:bidi w:val="0"/>
        <w:spacing w:before="100" w:after="100" w:line="360" w:lineRule="auto"/>
        <w:ind w:right="70"/>
        <w:jc w:val="lowKashida"/>
        <w:rPr>
          <w:sz w:val="28"/>
          <w:szCs w:val="28"/>
          <w:rtl/>
          <w:lang w:val="fr-FR"/>
        </w:rPr>
      </w:pPr>
    </w:p>
    <w:p w:rsidR="00E8756F" w:rsidRPr="00136B18" w:rsidRDefault="00E8756F" w:rsidP="00E8756F">
      <w:pPr>
        <w:tabs>
          <w:tab w:val="right" w:pos="3754"/>
        </w:tabs>
        <w:bidi w:val="0"/>
        <w:spacing w:before="100" w:after="100" w:line="360" w:lineRule="auto"/>
        <w:ind w:right="70"/>
        <w:jc w:val="lowKashida"/>
        <w:rPr>
          <w:sz w:val="28"/>
          <w:szCs w:val="28"/>
          <w:lang w:val="fr-FR"/>
        </w:rPr>
      </w:pPr>
    </w:p>
    <w:p w:rsidR="004C4A9D" w:rsidRPr="00136B18" w:rsidRDefault="004C4A9D" w:rsidP="004C4A9D">
      <w:pPr>
        <w:jc w:val="right"/>
        <w:rPr>
          <w:sz w:val="28"/>
          <w:szCs w:val="28"/>
          <w:lang w:val="fr-FR"/>
        </w:rPr>
      </w:pPr>
    </w:p>
    <w:sectPr w:rsidR="004C4A9D" w:rsidRPr="00136B18" w:rsidSect="00346F6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illSans-BoldCondense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13ED7"/>
    <w:multiLevelType w:val="hybridMultilevel"/>
    <w:tmpl w:val="8B642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35789E"/>
    <w:multiLevelType w:val="multilevel"/>
    <w:tmpl w:val="040C0023"/>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4860"/>
        </w:tabs>
        <w:ind w:left="3420" w:firstLine="0"/>
      </w:pPr>
    </w:lvl>
    <w:lvl w:ilvl="2">
      <w:start w:val="1"/>
      <w:numFmt w:val="lowerLetter"/>
      <w:pStyle w:val="Titre3"/>
      <w:lvlText w:val="(%3)"/>
      <w:lvlJc w:val="left"/>
      <w:pPr>
        <w:tabs>
          <w:tab w:val="num" w:pos="3132"/>
        </w:tabs>
        <w:ind w:left="3132" w:right="3132" w:hanging="432"/>
      </w:pPr>
    </w:lvl>
    <w:lvl w:ilvl="3">
      <w:start w:val="1"/>
      <w:numFmt w:val="lowerRoman"/>
      <w:pStyle w:val="Titre4"/>
      <w:lvlText w:val="(%4)"/>
      <w:lvlJc w:val="right"/>
      <w:pPr>
        <w:tabs>
          <w:tab w:val="num" w:pos="864"/>
        </w:tabs>
        <w:ind w:left="864" w:right="864" w:hanging="144"/>
      </w:pPr>
    </w:lvl>
    <w:lvl w:ilvl="4">
      <w:start w:val="1"/>
      <w:numFmt w:val="decimal"/>
      <w:pStyle w:val="Titre5"/>
      <w:lvlText w:val="%5)"/>
      <w:lvlJc w:val="left"/>
      <w:pPr>
        <w:tabs>
          <w:tab w:val="num" w:pos="1008"/>
        </w:tabs>
        <w:ind w:left="1008" w:right="1008" w:hanging="432"/>
      </w:pPr>
    </w:lvl>
    <w:lvl w:ilvl="5">
      <w:start w:val="1"/>
      <w:numFmt w:val="lowerLetter"/>
      <w:lvlText w:val="%6)"/>
      <w:lvlJc w:val="left"/>
      <w:pPr>
        <w:tabs>
          <w:tab w:val="num" w:pos="1152"/>
        </w:tabs>
        <w:ind w:left="1152" w:right="1152" w:hanging="432"/>
      </w:pPr>
    </w:lvl>
    <w:lvl w:ilvl="6">
      <w:start w:val="1"/>
      <w:numFmt w:val="lowerRoman"/>
      <w:lvlText w:val="%7)"/>
      <w:lvlJc w:val="right"/>
      <w:pPr>
        <w:tabs>
          <w:tab w:val="num" w:pos="1296"/>
        </w:tabs>
        <w:ind w:left="1296" w:right="1296" w:hanging="288"/>
      </w:pPr>
    </w:lvl>
    <w:lvl w:ilvl="7">
      <w:start w:val="1"/>
      <w:numFmt w:val="lowerLetter"/>
      <w:lvlText w:val="%8."/>
      <w:lvlJc w:val="left"/>
      <w:pPr>
        <w:tabs>
          <w:tab w:val="num" w:pos="1440"/>
        </w:tabs>
        <w:ind w:left="1440" w:right="1440" w:hanging="432"/>
      </w:pPr>
    </w:lvl>
    <w:lvl w:ilvl="8">
      <w:start w:val="1"/>
      <w:numFmt w:val="lowerRoman"/>
      <w:lvlText w:val="%9."/>
      <w:lvlJc w:val="right"/>
      <w:pPr>
        <w:tabs>
          <w:tab w:val="num" w:pos="1584"/>
        </w:tabs>
        <w:ind w:left="1584" w:right="1584" w:hanging="144"/>
      </w:pPr>
    </w:lvl>
  </w:abstractNum>
  <w:abstractNum w:abstractNumId="2">
    <w:nsid w:val="595F4795"/>
    <w:multiLevelType w:val="hybridMultilevel"/>
    <w:tmpl w:val="0152047C"/>
    <w:lvl w:ilvl="0" w:tplc="792AD500">
      <w:start w:val="1"/>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73E8555F"/>
    <w:multiLevelType w:val="hybridMultilevel"/>
    <w:tmpl w:val="4902574A"/>
    <w:lvl w:ilvl="0" w:tplc="04090001">
      <w:start w:val="1"/>
      <w:numFmt w:val="bullet"/>
      <w:lvlText w:val=""/>
      <w:lvlJc w:val="left"/>
      <w:pPr>
        <w:tabs>
          <w:tab w:val="num" w:pos="861"/>
        </w:tabs>
        <w:ind w:left="86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4C4A9D"/>
    <w:rsid w:val="00044DEA"/>
    <w:rsid w:val="00075854"/>
    <w:rsid w:val="00136B18"/>
    <w:rsid w:val="00142924"/>
    <w:rsid w:val="001506DA"/>
    <w:rsid w:val="001C2F5E"/>
    <w:rsid w:val="001E096E"/>
    <w:rsid w:val="00226841"/>
    <w:rsid w:val="00251554"/>
    <w:rsid w:val="002D0371"/>
    <w:rsid w:val="002F1402"/>
    <w:rsid w:val="00346F60"/>
    <w:rsid w:val="00366782"/>
    <w:rsid w:val="00414F6A"/>
    <w:rsid w:val="004C4A9D"/>
    <w:rsid w:val="0051509A"/>
    <w:rsid w:val="005A632D"/>
    <w:rsid w:val="00623D00"/>
    <w:rsid w:val="006864A9"/>
    <w:rsid w:val="007011F7"/>
    <w:rsid w:val="007051F4"/>
    <w:rsid w:val="00717359"/>
    <w:rsid w:val="007320C8"/>
    <w:rsid w:val="007E284C"/>
    <w:rsid w:val="00840E49"/>
    <w:rsid w:val="0089357F"/>
    <w:rsid w:val="00983793"/>
    <w:rsid w:val="00A051FF"/>
    <w:rsid w:val="00A16CD1"/>
    <w:rsid w:val="00A60BB5"/>
    <w:rsid w:val="00AB0862"/>
    <w:rsid w:val="00AE0275"/>
    <w:rsid w:val="00B13D16"/>
    <w:rsid w:val="00B775FD"/>
    <w:rsid w:val="00C270C5"/>
    <w:rsid w:val="00C27811"/>
    <w:rsid w:val="00C63A16"/>
    <w:rsid w:val="00CB30D8"/>
    <w:rsid w:val="00D275F2"/>
    <w:rsid w:val="00D74257"/>
    <w:rsid w:val="00D941B4"/>
    <w:rsid w:val="00DD2664"/>
    <w:rsid w:val="00E8756F"/>
    <w:rsid w:val="00FF745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line="252" w:lineRule="auto"/>
        <w:ind w:firstLine="20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9D"/>
    <w:pPr>
      <w:bidi/>
      <w:spacing w:before="0" w:beforeAutospacing="0" w:after="0" w:afterAutospacing="0" w:line="240" w:lineRule="auto"/>
      <w:ind w:firstLine="0"/>
      <w:jc w:val="left"/>
    </w:pPr>
    <w:rPr>
      <w:rFonts w:ascii="Times New Roman" w:eastAsia="Times New Roman" w:hAnsi="Times New Roman" w:cs="Times New Roman"/>
      <w:sz w:val="24"/>
      <w:szCs w:val="24"/>
      <w:lang w:val="en-US" w:eastAsia="ar-SA"/>
    </w:rPr>
  </w:style>
  <w:style w:type="paragraph" w:styleId="Titre1">
    <w:name w:val="heading 1"/>
    <w:basedOn w:val="Normal"/>
    <w:next w:val="Normal"/>
    <w:link w:val="Titre1Car"/>
    <w:qFormat/>
    <w:rsid w:val="004C4A9D"/>
    <w:pPr>
      <w:keepNext/>
      <w:numPr>
        <w:numId w:val="1"/>
      </w:numPr>
      <w:jc w:val="right"/>
      <w:outlineLvl w:val="0"/>
    </w:pPr>
    <w:rPr>
      <w:b/>
      <w:bCs/>
      <w:lang w:val="fr-FR" w:bidi="ar-DZ"/>
    </w:rPr>
  </w:style>
  <w:style w:type="paragraph" w:styleId="Titre2">
    <w:name w:val="heading 2"/>
    <w:basedOn w:val="Normal"/>
    <w:next w:val="Normal"/>
    <w:link w:val="Titre2Car"/>
    <w:qFormat/>
    <w:rsid w:val="004C4A9D"/>
    <w:pPr>
      <w:keepNext/>
      <w:numPr>
        <w:ilvl w:val="1"/>
        <w:numId w:val="1"/>
      </w:numPr>
      <w:bidi w:val="0"/>
      <w:spacing w:before="100" w:beforeAutospacing="1" w:after="100" w:afterAutospacing="1"/>
      <w:jc w:val="center"/>
      <w:outlineLvl w:val="1"/>
    </w:pPr>
    <w:rPr>
      <w:b/>
      <w:bCs/>
      <w:sz w:val="28"/>
      <w:szCs w:val="28"/>
      <w:u w:val="single"/>
      <w:lang w:val="fr-FR"/>
    </w:rPr>
  </w:style>
  <w:style w:type="paragraph" w:styleId="Titre3">
    <w:name w:val="heading 3"/>
    <w:basedOn w:val="Normal"/>
    <w:next w:val="Normal"/>
    <w:link w:val="Titre3Car"/>
    <w:qFormat/>
    <w:rsid w:val="004C4A9D"/>
    <w:pPr>
      <w:keepNext/>
      <w:numPr>
        <w:ilvl w:val="2"/>
        <w:numId w:val="1"/>
      </w:numPr>
      <w:ind w:right="0"/>
      <w:jc w:val="right"/>
      <w:outlineLvl w:val="2"/>
    </w:pPr>
    <w:rPr>
      <w:b/>
      <w:bCs/>
      <w:sz w:val="28"/>
      <w:szCs w:val="28"/>
      <w:lang w:val="fr-FR"/>
    </w:rPr>
  </w:style>
  <w:style w:type="paragraph" w:styleId="Titre4">
    <w:name w:val="heading 4"/>
    <w:basedOn w:val="Normal"/>
    <w:next w:val="Normal"/>
    <w:link w:val="Titre4Car"/>
    <w:qFormat/>
    <w:rsid w:val="004C4A9D"/>
    <w:pPr>
      <w:keepNext/>
      <w:numPr>
        <w:ilvl w:val="3"/>
        <w:numId w:val="1"/>
      </w:numPr>
      <w:bidi w:val="0"/>
      <w:spacing w:before="100" w:beforeAutospacing="1" w:after="100" w:afterAutospacing="1" w:line="360" w:lineRule="auto"/>
      <w:ind w:right="0"/>
      <w:jc w:val="center"/>
      <w:outlineLvl w:val="3"/>
    </w:pPr>
    <w:rPr>
      <w:b/>
      <w:bCs/>
      <w:i/>
      <w:iCs/>
      <w:u w:val="single"/>
      <w:lang w:val="fr-FR"/>
    </w:rPr>
  </w:style>
  <w:style w:type="paragraph" w:styleId="Titre5">
    <w:name w:val="heading 5"/>
    <w:basedOn w:val="Normal"/>
    <w:next w:val="Normal"/>
    <w:link w:val="Titre5Car"/>
    <w:qFormat/>
    <w:rsid w:val="004C4A9D"/>
    <w:pPr>
      <w:keepNext/>
      <w:numPr>
        <w:ilvl w:val="4"/>
        <w:numId w:val="1"/>
      </w:numPr>
      <w:bidi w:val="0"/>
      <w:spacing w:before="100" w:beforeAutospacing="1" w:after="100" w:afterAutospacing="1" w:line="360" w:lineRule="auto"/>
      <w:ind w:right="0"/>
      <w:outlineLvl w:val="4"/>
    </w:pPr>
    <w:rPr>
      <w:b/>
      <w:bCs/>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4C4A9D"/>
    <w:pPr>
      <w:bidi w:val="0"/>
      <w:spacing w:before="100" w:beforeAutospacing="1" w:after="100" w:afterAutospacing="1"/>
    </w:pPr>
    <w:rPr>
      <w:lang w:eastAsia="en-US"/>
    </w:rPr>
  </w:style>
  <w:style w:type="character" w:styleId="Lienhypertexte">
    <w:name w:val="Hyperlink"/>
    <w:basedOn w:val="Policepardfaut"/>
    <w:rsid w:val="004C4A9D"/>
    <w:rPr>
      <w:color w:val="0000FF"/>
      <w:u w:val="single"/>
    </w:rPr>
  </w:style>
  <w:style w:type="character" w:customStyle="1" w:styleId="Titre1Car">
    <w:name w:val="Titre 1 Car"/>
    <w:basedOn w:val="Policepardfaut"/>
    <w:link w:val="Titre1"/>
    <w:rsid w:val="004C4A9D"/>
    <w:rPr>
      <w:rFonts w:ascii="Times New Roman" w:eastAsia="Times New Roman" w:hAnsi="Times New Roman" w:cs="Times New Roman"/>
      <w:b/>
      <w:bCs/>
      <w:sz w:val="24"/>
      <w:szCs w:val="24"/>
      <w:lang w:eastAsia="ar-SA" w:bidi="ar-DZ"/>
    </w:rPr>
  </w:style>
  <w:style w:type="character" w:customStyle="1" w:styleId="Titre2Car">
    <w:name w:val="Titre 2 Car"/>
    <w:basedOn w:val="Policepardfaut"/>
    <w:link w:val="Titre2"/>
    <w:rsid w:val="004C4A9D"/>
    <w:rPr>
      <w:rFonts w:ascii="Times New Roman" w:eastAsia="Times New Roman" w:hAnsi="Times New Roman" w:cs="Times New Roman"/>
      <w:b/>
      <w:bCs/>
      <w:sz w:val="28"/>
      <w:szCs w:val="28"/>
      <w:u w:val="single"/>
      <w:lang w:eastAsia="ar-SA"/>
    </w:rPr>
  </w:style>
  <w:style w:type="character" w:customStyle="1" w:styleId="Titre3Car">
    <w:name w:val="Titre 3 Car"/>
    <w:basedOn w:val="Policepardfaut"/>
    <w:link w:val="Titre3"/>
    <w:rsid w:val="004C4A9D"/>
    <w:rPr>
      <w:rFonts w:ascii="Times New Roman" w:eastAsia="Times New Roman" w:hAnsi="Times New Roman" w:cs="Times New Roman"/>
      <w:b/>
      <w:bCs/>
      <w:sz w:val="28"/>
      <w:szCs w:val="28"/>
      <w:lang w:eastAsia="ar-SA"/>
    </w:rPr>
  </w:style>
  <w:style w:type="character" w:customStyle="1" w:styleId="Titre4Car">
    <w:name w:val="Titre 4 Car"/>
    <w:basedOn w:val="Policepardfaut"/>
    <w:link w:val="Titre4"/>
    <w:rsid w:val="004C4A9D"/>
    <w:rPr>
      <w:rFonts w:ascii="Times New Roman" w:eastAsia="Times New Roman" w:hAnsi="Times New Roman" w:cs="Times New Roman"/>
      <w:b/>
      <w:bCs/>
      <w:i/>
      <w:iCs/>
      <w:sz w:val="24"/>
      <w:szCs w:val="24"/>
      <w:u w:val="single"/>
      <w:lang w:eastAsia="ar-SA"/>
    </w:rPr>
  </w:style>
  <w:style w:type="character" w:customStyle="1" w:styleId="Titre5Car">
    <w:name w:val="Titre 5 Car"/>
    <w:basedOn w:val="Policepardfaut"/>
    <w:link w:val="Titre5"/>
    <w:rsid w:val="004C4A9D"/>
    <w:rPr>
      <w:rFonts w:ascii="Times New Roman" w:eastAsia="Times New Roman" w:hAnsi="Times New Roman" w:cs="Times New Roman"/>
      <w:b/>
      <w:bCs/>
      <w:sz w:val="24"/>
      <w:szCs w:val="24"/>
      <w:u w:val="single"/>
      <w:lang w:eastAsia="ar-SA"/>
    </w:rPr>
  </w:style>
  <w:style w:type="paragraph" w:styleId="Textedebulles">
    <w:name w:val="Balloon Text"/>
    <w:basedOn w:val="Normal"/>
    <w:link w:val="TextedebullesCar"/>
    <w:uiPriority w:val="99"/>
    <w:semiHidden/>
    <w:unhideWhenUsed/>
    <w:rsid w:val="004C4A9D"/>
    <w:rPr>
      <w:rFonts w:ascii="Tahoma" w:hAnsi="Tahoma" w:cs="Tahoma"/>
      <w:sz w:val="16"/>
      <w:szCs w:val="16"/>
    </w:rPr>
  </w:style>
  <w:style w:type="character" w:customStyle="1" w:styleId="TextedebullesCar">
    <w:name w:val="Texte de bulles Car"/>
    <w:basedOn w:val="Policepardfaut"/>
    <w:link w:val="Textedebulles"/>
    <w:uiPriority w:val="99"/>
    <w:semiHidden/>
    <w:rsid w:val="004C4A9D"/>
    <w:rPr>
      <w:rFonts w:ascii="Tahoma" w:eastAsia="Times New Roman" w:hAnsi="Tahoma" w:cs="Tahoma"/>
      <w:sz w:val="16"/>
      <w:szCs w:val="16"/>
      <w:lang w:val="en-US" w:eastAsia="ar-SA"/>
    </w:rPr>
  </w:style>
  <w:style w:type="paragraph" w:styleId="Paragraphedeliste">
    <w:name w:val="List Paragraph"/>
    <w:basedOn w:val="Normal"/>
    <w:uiPriority w:val="34"/>
    <w:qFormat/>
    <w:rsid w:val="004C4A9D"/>
    <w:pPr>
      <w:ind w:left="720"/>
      <w:contextualSpacing/>
    </w:pPr>
  </w:style>
  <w:style w:type="character" w:customStyle="1" w:styleId="author">
    <w:name w:val="author"/>
    <w:basedOn w:val="Policepardfaut"/>
    <w:rsid w:val="00E8756F"/>
  </w:style>
  <w:style w:type="character" w:styleId="lev">
    <w:name w:val="Strong"/>
    <w:basedOn w:val="Policepardfaut"/>
    <w:qFormat/>
    <w:rsid w:val="00E8756F"/>
    <w:rPr>
      <w:b/>
      <w:bCs/>
    </w:rPr>
  </w:style>
</w:styles>
</file>

<file path=word/webSettings.xml><?xml version="1.0" encoding="utf-8"?>
<w:webSettings xmlns:r="http://schemas.openxmlformats.org/officeDocument/2006/relationships" xmlns:w="http://schemas.openxmlformats.org/wordprocessingml/2006/main">
  <w:divs>
    <w:div w:id="95325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r.wikipedia.org/wiki/Thymus_%28anatomie%29" TargetMode="External"/><Relationship Id="rId11" Type="http://schemas.openxmlformats.org/officeDocument/2006/relationships/image" Target="media/image5.jpeg"/><Relationship Id="rId5" Type="http://schemas.openxmlformats.org/officeDocument/2006/relationships/hyperlink" Target="http://fr.wikipedia.org/wiki/Bourse_de_Fabricius"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11</Pages>
  <Words>1890</Words>
  <Characters>10400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 LAPTOPS PC</cp:lastModifiedBy>
  <cp:revision>20</cp:revision>
  <dcterms:created xsi:type="dcterms:W3CDTF">2013-12-12T18:53:00Z</dcterms:created>
  <dcterms:modified xsi:type="dcterms:W3CDTF">2016-10-25T19:05:00Z</dcterms:modified>
</cp:coreProperties>
</file>