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55" w:rsidRPr="00D329E0" w:rsidRDefault="00F96555" w:rsidP="00D329E0">
      <w:pPr>
        <w:jc w:val="center"/>
        <w:rPr>
          <w:b/>
          <w:lang w:val="en-US"/>
        </w:rPr>
      </w:pPr>
      <w:r w:rsidRPr="00D329E0">
        <w:rPr>
          <w:b/>
          <w:lang w:val="en-US"/>
        </w:rPr>
        <w:t>M</w:t>
      </w:r>
      <w:r w:rsidR="00355331" w:rsidRPr="00D329E0">
        <w:rPr>
          <w:b/>
          <w:lang w:val="en-US"/>
        </w:rPr>
        <w:t>1</w:t>
      </w:r>
      <w:r w:rsidRPr="00D329E0">
        <w:rPr>
          <w:b/>
          <w:lang w:val="en-US"/>
        </w:rPr>
        <w:t xml:space="preserve"> English </w:t>
      </w:r>
      <w:proofErr w:type="gramStart"/>
      <w:r w:rsidRPr="00D329E0">
        <w:rPr>
          <w:b/>
          <w:lang w:val="en-US"/>
        </w:rPr>
        <w:t xml:space="preserve">Lectures </w:t>
      </w:r>
      <w:r w:rsidR="00D329E0" w:rsidRPr="00D329E0">
        <w:rPr>
          <w:b/>
          <w:lang w:val="en-US"/>
        </w:rPr>
        <w:t>,</w:t>
      </w:r>
      <w:proofErr w:type="gramEnd"/>
      <w:r w:rsidR="00D329E0" w:rsidRPr="00D329E0">
        <w:rPr>
          <w:b/>
          <w:lang w:val="en-US"/>
        </w:rPr>
        <w:t xml:space="preserve"> Administrative Law</w:t>
      </w:r>
    </w:p>
    <w:p w:rsidR="005432CB" w:rsidRPr="00D77C1C" w:rsidRDefault="005432CB" w:rsidP="008F41DE">
      <w:pPr>
        <w:rPr>
          <w:lang w:val="en-US"/>
        </w:rPr>
      </w:pPr>
      <w:r w:rsidRPr="005432CB">
        <w:rPr>
          <w:lang w:val="en-US"/>
        </w:rPr>
        <w:t xml:space="preserve">This module is titled "The </w:t>
      </w:r>
      <w:r w:rsidR="008F41DE">
        <w:rPr>
          <w:lang w:val="en-US"/>
        </w:rPr>
        <w:t>Judicial</w:t>
      </w:r>
      <w:r w:rsidRPr="005432CB">
        <w:rPr>
          <w:lang w:val="en-US"/>
        </w:rPr>
        <w:t xml:space="preserve"> Power". It has to do with </w:t>
      </w:r>
      <w:r w:rsidR="008F41DE">
        <w:rPr>
          <w:lang w:val="en-US"/>
        </w:rPr>
        <w:t>the legitimacy, organization and function of courts</w:t>
      </w:r>
      <w:r w:rsidRPr="005432CB">
        <w:rPr>
          <w:lang w:val="en-US"/>
        </w:rPr>
        <w:t>.</w:t>
      </w:r>
      <w:r w:rsidR="00D77C1C">
        <w:rPr>
          <w:lang w:val="en-US"/>
        </w:rPr>
        <w:t xml:space="preserve"> </w:t>
      </w:r>
      <w:r w:rsidRPr="005432CB">
        <w:rPr>
          <w:lang w:val="en-US"/>
        </w:rPr>
        <w:t xml:space="preserve">It aims at providing </w:t>
      </w:r>
      <w:r w:rsidR="008F41DE">
        <w:rPr>
          <w:lang w:val="en-US"/>
        </w:rPr>
        <w:t>M1</w:t>
      </w:r>
      <w:r w:rsidRPr="005432CB">
        <w:rPr>
          <w:lang w:val="en-US"/>
        </w:rPr>
        <w:t xml:space="preserve"> students with detailed </w:t>
      </w:r>
      <w:r w:rsidR="008F41DE">
        <w:rPr>
          <w:lang w:val="en-US"/>
        </w:rPr>
        <w:t>understanding of these elements</w:t>
      </w:r>
      <w:r w:rsidRPr="005432CB">
        <w:rPr>
          <w:lang w:val="en-US"/>
        </w:rPr>
        <w:t xml:space="preserve">. </w:t>
      </w:r>
    </w:p>
    <w:p w:rsidR="00D77C1C" w:rsidRDefault="00D77C1C" w:rsidP="00F96555">
      <w:pPr>
        <w:rPr>
          <w:lang w:val="en-US"/>
        </w:rPr>
      </w:pPr>
      <w:r w:rsidRPr="00D77C1C">
        <w:rPr>
          <w:lang w:val="en-US"/>
        </w:rPr>
        <w:t xml:space="preserve">This module is taught by Prof. </w:t>
      </w:r>
      <w:proofErr w:type="spellStart"/>
      <w:r w:rsidRPr="00D77C1C">
        <w:rPr>
          <w:lang w:val="en-US"/>
        </w:rPr>
        <w:t>Fathi</w:t>
      </w:r>
      <w:proofErr w:type="spellEnd"/>
      <w:r w:rsidRPr="00D77C1C">
        <w:rPr>
          <w:lang w:val="en-US"/>
        </w:rPr>
        <w:t xml:space="preserve"> ZERARI; to reach out, contact </w:t>
      </w:r>
      <w:hyperlink r:id="rId6" w:history="1">
        <w:r w:rsidRPr="00B739B3">
          <w:rPr>
            <w:rStyle w:val="Lienhypertexte"/>
            <w:lang w:val="en-US"/>
          </w:rPr>
          <w:t>f.zerari@univ-soukahras.dz</w:t>
        </w:r>
      </w:hyperlink>
    </w:p>
    <w:p w:rsidR="00D77C1C" w:rsidRDefault="00D77C1C" w:rsidP="008F41DE">
      <w:pPr>
        <w:rPr>
          <w:lang w:val="en-US"/>
        </w:rPr>
      </w:pPr>
      <w:r w:rsidRPr="00D77C1C">
        <w:rPr>
          <w:lang w:val="en-US"/>
        </w:rPr>
        <w:t xml:space="preserve">The general objectives of this module revolve around understanding </w:t>
      </w:r>
      <w:r w:rsidR="008F41DE">
        <w:rPr>
          <w:lang w:val="en-US"/>
        </w:rPr>
        <w:t>The essential elements of the judiciary power, which are 1</w:t>
      </w:r>
      <w:proofErr w:type="gramStart"/>
      <w:r w:rsidR="008F41DE">
        <w:rPr>
          <w:lang w:val="en-US"/>
        </w:rPr>
        <w:t>)the</w:t>
      </w:r>
      <w:proofErr w:type="gramEnd"/>
      <w:r w:rsidR="008F41DE">
        <w:rPr>
          <w:lang w:val="en-US"/>
        </w:rPr>
        <w:t xml:space="preserve"> legitimacy, 2) the</w:t>
      </w:r>
      <w:r w:rsidRPr="00D77C1C">
        <w:rPr>
          <w:lang w:val="en-US"/>
        </w:rPr>
        <w:t xml:space="preserve"> organization</w:t>
      </w:r>
      <w:r w:rsidR="008F41DE">
        <w:rPr>
          <w:lang w:val="en-US"/>
        </w:rPr>
        <w:t xml:space="preserve"> and 3) the functions</w:t>
      </w:r>
      <w:r w:rsidRPr="00D77C1C">
        <w:rPr>
          <w:lang w:val="en-US"/>
        </w:rPr>
        <w:t>.</w:t>
      </w:r>
    </w:p>
    <w:p w:rsidR="00D77C1C" w:rsidRDefault="00D77C1C" w:rsidP="008F41DE">
      <w:pPr>
        <w:rPr>
          <w:lang w:val="en-US"/>
        </w:rPr>
      </w:pPr>
      <w:r w:rsidRPr="00D77C1C">
        <w:rPr>
          <w:lang w:val="en-US"/>
        </w:rPr>
        <w:t xml:space="preserve">To be able to take this module, the learner must be able to understand the basis notions of </w:t>
      </w:r>
      <w:r w:rsidR="008F41DE">
        <w:rPr>
          <w:lang w:val="en-US"/>
        </w:rPr>
        <w:t>the principle of separation of powers</w:t>
      </w:r>
      <w:r w:rsidRPr="00D77C1C">
        <w:rPr>
          <w:lang w:val="en-US"/>
        </w:rPr>
        <w:t>.</w:t>
      </w:r>
    </w:p>
    <w:p w:rsidR="00D77C1C" w:rsidRDefault="001B7D1A" w:rsidP="008F41DE">
      <w:pPr>
        <w:rPr>
          <w:lang w:val="en-US"/>
        </w:rPr>
      </w:pPr>
      <w:r w:rsidRPr="001B7D1A">
        <w:rPr>
          <w:lang w:val="en-US"/>
        </w:rPr>
        <w:t>I.</w:t>
      </w:r>
      <w:r w:rsidRPr="001B7D1A">
        <w:rPr>
          <w:lang w:val="en-US"/>
        </w:rPr>
        <w:tab/>
        <w:t>Introduction</w:t>
      </w:r>
      <w:r w:rsidR="008F41DE">
        <w:rPr>
          <w:lang w:val="en-US"/>
        </w:rPr>
        <w:t xml:space="preserve"> (What is a court?)</w:t>
      </w:r>
      <w:r w:rsidRPr="001B7D1A">
        <w:rPr>
          <w:lang w:val="en-US"/>
        </w:rPr>
        <w:t xml:space="preserve"> II.</w:t>
      </w:r>
      <w:r w:rsidRPr="001B7D1A">
        <w:rPr>
          <w:lang w:val="en-US"/>
        </w:rPr>
        <w:tab/>
      </w:r>
      <w:r w:rsidR="008F41DE">
        <w:rPr>
          <w:lang w:val="en-US"/>
        </w:rPr>
        <w:t>Judicial Legitimacy</w:t>
      </w:r>
      <w:r w:rsidRPr="001B7D1A">
        <w:rPr>
          <w:lang w:val="en-US"/>
        </w:rPr>
        <w:t xml:space="preserve"> III.</w:t>
      </w:r>
      <w:r w:rsidRPr="001B7D1A">
        <w:rPr>
          <w:lang w:val="en-US"/>
        </w:rPr>
        <w:tab/>
      </w:r>
      <w:proofErr w:type="gramStart"/>
      <w:r w:rsidR="008F41DE">
        <w:rPr>
          <w:lang w:val="en-US"/>
        </w:rPr>
        <w:t>Types of Courts and their Organization</w:t>
      </w:r>
      <w:r w:rsidRPr="001B7D1A">
        <w:rPr>
          <w:lang w:val="en-US"/>
        </w:rPr>
        <w:t xml:space="preserve"> IV.</w:t>
      </w:r>
      <w:proofErr w:type="gramEnd"/>
      <w:r w:rsidRPr="001B7D1A">
        <w:rPr>
          <w:lang w:val="en-US"/>
        </w:rPr>
        <w:tab/>
      </w:r>
      <w:r w:rsidR="008F41DE">
        <w:rPr>
          <w:lang w:val="en-US"/>
        </w:rPr>
        <w:t xml:space="preserve">The Major Functions of the Judiciary </w:t>
      </w:r>
    </w:p>
    <w:p w:rsidR="001B7D1A" w:rsidRPr="00D77C1C" w:rsidRDefault="001B7D1A" w:rsidP="00F96555">
      <w:pPr>
        <w:rPr>
          <w:lang w:val="en-US"/>
        </w:rPr>
      </w:pPr>
      <w:r w:rsidRPr="001B7D1A">
        <w:rPr>
          <w:lang w:val="en-US"/>
        </w:rPr>
        <w:t>Lectures are available in OBS videos</w:t>
      </w:r>
    </w:p>
    <w:p w:rsidR="002563F8" w:rsidRDefault="00F96555" w:rsidP="00F96555">
      <w:pPr>
        <w:pStyle w:val="Paragraphedeliste"/>
        <w:numPr>
          <w:ilvl w:val="0"/>
          <w:numId w:val="1"/>
        </w:numPr>
      </w:pPr>
      <w:r>
        <w:t>Introduction</w:t>
      </w:r>
    </w:p>
    <w:p w:rsidR="00F96555" w:rsidRDefault="00F96555" w:rsidP="00F96555">
      <w:pPr>
        <w:pStyle w:val="Paragraphedeliste"/>
        <w:numPr>
          <w:ilvl w:val="0"/>
          <w:numId w:val="1"/>
        </w:numPr>
      </w:pPr>
      <w:proofErr w:type="spellStart"/>
      <w:r>
        <w:t>Integrity</w:t>
      </w:r>
      <w:proofErr w:type="spellEnd"/>
      <w:r>
        <w:t xml:space="preserve"> Bodies</w:t>
      </w:r>
    </w:p>
    <w:p w:rsidR="00F96555" w:rsidRP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 w:rsidRPr="00F96555">
        <w:rPr>
          <w:lang w:val="en-US"/>
        </w:rPr>
        <w:t>Balance Between Private Interest and Public Interest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Aim of public authorities (Pursuing Public Interest)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Different Types of Control and Oversight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Constitutional Review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Political Review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Judicial Review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Administrative Review</w:t>
      </w:r>
    </w:p>
    <w:p w:rsidR="00F96555" w:rsidRDefault="00F96555" w:rsidP="00F965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Regulation </w:t>
      </w:r>
    </w:p>
    <w:p w:rsidR="00ED5DFC" w:rsidRPr="00ED5DFC" w:rsidRDefault="00ED5DFC" w:rsidP="00ED5DFC">
      <w:pPr>
        <w:rPr>
          <w:b/>
          <w:lang w:val="en-US"/>
        </w:rPr>
      </w:pPr>
      <w:r>
        <w:rPr>
          <w:b/>
          <w:lang w:val="en-US"/>
        </w:rPr>
        <w:t xml:space="preserve">Brief List of </w:t>
      </w:r>
      <w:r w:rsidRPr="00ED5DFC">
        <w:rPr>
          <w:b/>
          <w:lang w:val="en-US"/>
        </w:rPr>
        <w:t>References</w:t>
      </w:r>
    </w:p>
    <w:p w:rsidR="00ED5DFC" w:rsidRPr="00311674" w:rsidRDefault="00E51E98" w:rsidP="00C57E65">
      <w:pPr>
        <w:pStyle w:val="Titre6"/>
        <w:shd w:val="clear" w:color="auto" w:fill="FFFFFF"/>
        <w:spacing w:before="0" w:beforeAutospacing="0" w:after="48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hyperlink r:id="rId7" w:tooltip="locked" w:history="1">
        <w:r w:rsidR="00ED5DFC" w:rsidRPr="00311674">
          <w:rPr>
            <w:rStyle w:val="Lienhypertexte"/>
            <w:rFonts w:ascii="inherit" w:hAnsi="inherit" w:cs="Arial"/>
            <w:color w:val="206B7A"/>
            <w:sz w:val="19"/>
            <w:szCs w:val="19"/>
            <w:u w:val="none"/>
            <w:lang w:val="en-US"/>
          </w:rPr>
          <w:t>Judicial power</w:t>
        </w:r>
      </w:hyperlink>
      <w:r w:rsidR="00C57E65" w:rsidRPr="00C57E65">
        <w:rPr>
          <w:rFonts w:ascii="inherit" w:hAnsi="inherit" w:cs="Arial"/>
          <w:color w:val="000000"/>
          <w:sz w:val="19"/>
          <w:szCs w:val="19"/>
          <w:lang w:val="en-US"/>
        </w:rPr>
        <w:t xml:space="preserve">, </w:t>
      </w:r>
      <w:r w:rsidR="00ED5DFC" w:rsidRPr="00311674">
        <w:rPr>
          <w:rStyle w:val="source"/>
          <w:rFonts w:ascii="Arial" w:hAnsi="Arial" w:cs="Arial"/>
          <w:color w:val="000000"/>
          <w:sz w:val="19"/>
          <w:szCs w:val="19"/>
          <w:lang w:val="en-US"/>
        </w:rPr>
        <w:t>in </w:t>
      </w:r>
      <w:r w:rsidR="00ED5DFC" w:rsidRPr="00311674">
        <w:rPr>
          <w:rStyle w:val="Accentuation"/>
          <w:rFonts w:ascii="Arial" w:hAnsi="Arial" w:cs="Arial"/>
          <w:i w:val="0"/>
          <w:iCs w:val="0"/>
          <w:color w:val="000000"/>
          <w:sz w:val="19"/>
          <w:szCs w:val="19"/>
          <w:lang w:val="en-US"/>
        </w:rPr>
        <w:t>The Oxford Companion to the High Court of Australia</w:t>
      </w:r>
    </w:p>
    <w:p w:rsidR="00ED5DFC" w:rsidRPr="00311674" w:rsidRDefault="00E51E98" w:rsidP="00C57E65">
      <w:pPr>
        <w:pStyle w:val="Titre6"/>
        <w:shd w:val="clear" w:color="auto" w:fill="FFFFFF"/>
        <w:spacing w:before="0" w:beforeAutospacing="0" w:after="48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hyperlink r:id="rId8" w:tooltip="locked" w:history="1">
        <w:proofErr w:type="gramStart"/>
        <w:r w:rsidR="00ED5DFC" w:rsidRPr="00311674">
          <w:rPr>
            <w:rStyle w:val="Lienhypertexte"/>
            <w:rFonts w:ascii="inherit" w:hAnsi="inherit" w:cs="Arial"/>
            <w:color w:val="206B7A"/>
            <w:sz w:val="19"/>
            <w:szCs w:val="19"/>
            <w:u w:val="none"/>
            <w:lang w:val="en-US"/>
          </w:rPr>
          <w:t>judicial</w:t>
        </w:r>
        <w:proofErr w:type="gramEnd"/>
        <w:r w:rsidR="00ED5DFC" w:rsidRPr="00311674">
          <w:rPr>
            <w:rStyle w:val="Lienhypertexte"/>
            <w:rFonts w:ascii="inherit" w:hAnsi="inherit" w:cs="Arial"/>
            <w:color w:val="206B7A"/>
            <w:sz w:val="19"/>
            <w:szCs w:val="19"/>
            <w:u w:val="none"/>
            <w:lang w:val="en-US"/>
          </w:rPr>
          <w:t xml:space="preserve"> power</w:t>
        </w:r>
      </w:hyperlink>
      <w:r w:rsidR="00C57E65" w:rsidRPr="00C57E65">
        <w:rPr>
          <w:rFonts w:ascii="inherit" w:hAnsi="inherit" w:cs="Arial"/>
          <w:color w:val="000000"/>
          <w:sz w:val="19"/>
          <w:szCs w:val="19"/>
          <w:lang w:val="en-US"/>
        </w:rPr>
        <w:t xml:space="preserve">, </w:t>
      </w:r>
      <w:r w:rsidR="00ED5DFC" w:rsidRPr="00311674">
        <w:rPr>
          <w:rStyle w:val="source"/>
          <w:rFonts w:ascii="Arial" w:hAnsi="Arial" w:cs="Arial"/>
          <w:color w:val="000000"/>
          <w:sz w:val="19"/>
          <w:szCs w:val="19"/>
          <w:lang w:val="en-US"/>
        </w:rPr>
        <w:t>in </w:t>
      </w:r>
      <w:r w:rsidR="00ED5DFC" w:rsidRPr="00311674">
        <w:rPr>
          <w:rStyle w:val="Accentuation"/>
          <w:rFonts w:ascii="Arial" w:hAnsi="Arial" w:cs="Arial"/>
          <w:i w:val="0"/>
          <w:iCs w:val="0"/>
          <w:color w:val="000000"/>
          <w:sz w:val="19"/>
          <w:szCs w:val="19"/>
          <w:lang w:val="en-US"/>
        </w:rPr>
        <w:t>The Oxford Guide to the United States Government</w:t>
      </w:r>
    </w:p>
    <w:p w:rsidR="00ED5DFC" w:rsidRPr="00311674" w:rsidRDefault="00E51E98" w:rsidP="00C57E65">
      <w:pPr>
        <w:pStyle w:val="Titre6"/>
        <w:shd w:val="clear" w:color="auto" w:fill="FFFFFF"/>
        <w:spacing w:before="0" w:beforeAutospacing="0" w:after="48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hyperlink r:id="rId9" w:tooltip="locked" w:history="1">
        <w:r w:rsidR="00ED5DFC" w:rsidRPr="00311674">
          <w:rPr>
            <w:rStyle w:val="Lienhypertexte"/>
            <w:rFonts w:ascii="inherit" w:hAnsi="inherit" w:cs="Arial"/>
            <w:color w:val="206B7A"/>
            <w:sz w:val="19"/>
            <w:szCs w:val="19"/>
            <w:u w:val="none"/>
            <w:lang w:val="en-US"/>
          </w:rPr>
          <w:t>Judicial Power</w:t>
        </w:r>
      </w:hyperlink>
      <w:r w:rsidR="00C57E65" w:rsidRPr="00E51E98">
        <w:rPr>
          <w:rFonts w:ascii="inherit" w:hAnsi="inherit" w:cs="Arial"/>
          <w:color w:val="000000"/>
          <w:sz w:val="19"/>
          <w:szCs w:val="19"/>
          <w:lang w:val="en-US"/>
        </w:rPr>
        <w:t xml:space="preserve">, </w:t>
      </w:r>
      <w:r w:rsidR="00ED5DFC" w:rsidRPr="00311674">
        <w:rPr>
          <w:rStyle w:val="source"/>
          <w:rFonts w:ascii="Arial" w:hAnsi="Arial" w:cs="Arial"/>
          <w:color w:val="000000"/>
          <w:sz w:val="19"/>
          <w:szCs w:val="19"/>
          <w:lang w:val="en-US"/>
        </w:rPr>
        <w:t>in </w:t>
      </w:r>
      <w:proofErr w:type="gramStart"/>
      <w:r w:rsidR="00ED5DFC" w:rsidRPr="00311674">
        <w:rPr>
          <w:rStyle w:val="Accentuation"/>
          <w:rFonts w:ascii="Arial" w:hAnsi="Arial" w:cs="Arial"/>
          <w:i w:val="0"/>
          <w:iCs w:val="0"/>
          <w:color w:val="000000"/>
          <w:sz w:val="19"/>
          <w:szCs w:val="19"/>
          <w:lang w:val="en-US"/>
        </w:rPr>
        <w:t>The</w:t>
      </w:r>
      <w:proofErr w:type="gramEnd"/>
      <w:r w:rsidR="00ED5DFC" w:rsidRPr="00311674">
        <w:rPr>
          <w:rStyle w:val="Accentuation"/>
          <w:rFonts w:ascii="Arial" w:hAnsi="Arial" w:cs="Arial"/>
          <w:i w:val="0"/>
          <w:iCs w:val="0"/>
          <w:color w:val="000000"/>
          <w:sz w:val="19"/>
          <w:szCs w:val="19"/>
          <w:lang w:val="en-US"/>
        </w:rPr>
        <w:t xml:space="preserve"> Oxford International Encyclopedia of Legal History</w:t>
      </w:r>
    </w:p>
    <w:p w:rsidR="00ED5DFC" w:rsidRPr="000E7A1B" w:rsidRDefault="00ED5DFC" w:rsidP="00ED5DFC">
      <w:pPr>
        <w:rPr>
          <w:lang w:val="en-US"/>
        </w:rPr>
      </w:pPr>
    </w:p>
    <w:p w:rsidR="00E51E98" w:rsidRPr="00F96555" w:rsidRDefault="00E51E98" w:rsidP="00F96555">
      <w:pPr>
        <w:pStyle w:val="Paragraphedeliste"/>
        <w:ind w:left="1440"/>
        <w:rPr>
          <w:lang w:val="en-US"/>
        </w:rPr>
      </w:pPr>
      <w:bookmarkStart w:id="0" w:name="_GoBack"/>
      <w:bookmarkEnd w:id="0"/>
    </w:p>
    <w:sectPr w:rsidR="00E51E98" w:rsidRPr="00F9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816"/>
    <w:multiLevelType w:val="hybridMultilevel"/>
    <w:tmpl w:val="66AAFC16"/>
    <w:lvl w:ilvl="0" w:tplc="9E3AA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A02EC"/>
    <w:multiLevelType w:val="hybridMultilevel"/>
    <w:tmpl w:val="C3E4BE7E"/>
    <w:lvl w:ilvl="0" w:tplc="988250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55"/>
    <w:rsid w:val="001B7D1A"/>
    <w:rsid w:val="002563F8"/>
    <w:rsid w:val="00355331"/>
    <w:rsid w:val="005432CB"/>
    <w:rsid w:val="007C53D3"/>
    <w:rsid w:val="008F41DE"/>
    <w:rsid w:val="00C57E65"/>
    <w:rsid w:val="00D329E0"/>
    <w:rsid w:val="00D77C1C"/>
    <w:rsid w:val="00E51E98"/>
    <w:rsid w:val="00ED5DFC"/>
    <w:rsid w:val="00F80AE4"/>
    <w:rsid w:val="00F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ED5D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5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77C1C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ED5DFC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source">
    <w:name w:val="source"/>
    <w:basedOn w:val="Policepardfaut"/>
    <w:rsid w:val="00ED5DFC"/>
  </w:style>
  <w:style w:type="character" w:styleId="Accentuation">
    <w:name w:val="Emphasis"/>
    <w:basedOn w:val="Policepardfaut"/>
    <w:uiPriority w:val="20"/>
    <w:qFormat/>
    <w:rsid w:val="00ED5D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ED5D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5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77C1C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ED5DFC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source">
    <w:name w:val="source"/>
    <w:basedOn w:val="Policepardfaut"/>
    <w:rsid w:val="00ED5DFC"/>
  </w:style>
  <w:style w:type="character" w:styleId="Accentuation">
    <w:name w:val="Emphasis"/>
    <w:basedOn w:val="Policepardfaut"/>
    <w:uiPriority w:val="20"/>
    <w:qFormat/>
    <w:rsid w:val="00ED5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reference.com/viewbydoi/10.1093/acref/9780195142730.013.047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xfordreference.com/viewbydoi/10.1093/acref/9780195540222.013.0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zerari@univ-soukahras.d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xfordreference.com/viewbydoi/10.1093/acref/9780195134056.013.044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2024-01-08T15:29:00Z</dcterms:created>
  <dcterms:modified xsi:type="dcterms:W3CDTF">2024-03-05T17:01:00Z</dcterms:modified>
</cp:coreProperties>
</file>